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3BC54" w14:textId="6F6891B7" w:rsidR="00005490" w:rsidRPr="005E45A5" w:rsidRDefault="005E45A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45A5">
        <w:rPr>
          <w:rFonts w:ascii="Times New Roman" w:hAnsi="Times New Roman" w:cs="Times New Roman"/>
          <w:b/>
          <w:sz w:val="24"/>
          <w:szCs w:val="24"/>
        </w:rPr>
        <w:t>AOTCA BEPS REPORT SUMMARY.</w:t>
      </w:r>
    </w:p>
    <w:p w14:paraId="0053E287" w14:textId="260E84FC" w:rsidR="00005490" w:rsidRPr="00FA6B03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FA6B03">
        <w:rPr>
          <w:rFonts w:ascii="Times New Roman" w:hAnsi="Times New Roman" w:cs="Times New Roman"/>
          <w:b/>
          <w:sz w:val="24"/>
          <w:szCs w:val="24"/>
          <w:highlight w:val="lightGray"/>
        </w:rPr>
        <w:t>Action 1</w:t>
      </w:r>
      <w:r w:rsidR="00FA6B03" w:rsidRPr="00FA6B03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Pr="00FA6B0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Addressing the Tax Ch</w:t>
      </w:r>
      <w:r w:rsidR="00FA6B03" w:rsidRPr="00FA6B03">
        <w:rPr>
          <w:rFonts w:ascii="Times New Roman" w:hAnsi="Times New Roman" w:cs="Times New Roman"/>
          <w:b/>
          <w:sz w:val="24"/>
          <w:szCs w:val="24"/>
          <w:highlight w:val="lightGray"/>
        </w:rPr>
        <w:t>allenges of the Digital Economy</w:t>
      </w:r>
    </w:p>
    <w:p w14:paraId="63325AE5" w14:textId="77777777" w:rsidR="00FA6B03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86761">
        <w:rPr>
          <w:rFonts w:ascii="Times New Roman" w:hAnsi="Times New Roman" w:cs="Times New Roman"/>
          <w:b/>
          <w:sz w:val="24"/>
          <w:szCs w:val="24"/>
        </w:rPr>
        <w:t>Malaysia</w:t>
      </w:r>
    </w:p>
    <w:p w14:paraId="7CF05E94" w14:textId="6DC229DF" w:rsidR="00FA6B03" w:rsidRPr="00DB5FC8" w:rsidRDefault="00FA6B03" w:rsidP="00794AF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T</w:t>
      </w:r>
      <w:r w:rsidR="00005490" w:rsidRPr="00DB5FC8">
        <w:rPr>
          <w:rFonts w:ascii="Times New Roman" w:hAnsi="Times New Roman" w:cs="Times New Roman"/>
          <w:sz w:val="24"/>
          <w:szCs w:val="24"/>
        </w:rPr>
        <w:t>he reverse charge applies for B2B and no imposition on B2C</w:t>
      </w:r>
      <w:r w:rsidRPr="00DB5FC8">
        <w:rPr>
          <w:rFonts w:ascii="Times New Roman" w:hAnsi="Times New Roman" w:cs="Times New Roman"/>
          <w:sz w:val="24"/>
          <w:szCs w:val="24"/>
        </w:rPr>
        <w:t>.</w:t>
      </w:r>
    </w:p>
    <w:p w14:paraId="634D6A1D" w14:textId="51BE5179" w:rsidR="00005490" w:rsidRPr="00DB5FC8" w:rsidRDefault="00FA6B03" w:rsidP="00794AF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I</w:t>
      </w:r>
      <w:r w:rsidR="00005490" w:rsidRPr="00DB5FC8">
        <w:rPr>
          <w:rFonts w:ascii="Times New Roman" w:hAnsi="Times New Roman" w:cs="Times New Roman"/>
          <w:sz w:val="24"/>
          <w:szCs w:val="24"/>
        </w:rPr>
        <w:t xml:space="preserve">ncome tax only on the basis of </w:t>
      </w:r>
      <w:r w:rsidRPr="00DB5FC8">
        <w:rPr>
          <w:rFonts w:ascii="Times New Roman" w:hAnsi="Times New Roman" w:cs="Times New Roman"/>
          <w:sz w:val="24"/>
          <w:szCs w:val="24"/>
        </w:rPr>
        <w:t>business carried on in Malaysia.</w:t>
      </w:r>
    </w:p>
    <w:p w14:paraId="2D21E4F1" w14:textId="3F2A985D" w:rsidR="00FA6B03" w:rsidRPr="00DB5FC8" w:rsidRDefault="00FA6B03" w:rsidP="00794AF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Unlikely to change.</w:t>
      </w:r>
    </w:p>
    <w:p w14:paraId="322A7167" w14:textId="77777777" w:rsidR="00005490" w:rsidRPr="00A86761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86761">
        <w:rPr>
          <w:rFonts w:ascii="Times New Roman" w:hAnsi="Times New Roman" w:cs="Times New Roman"/>
          <w:b/>
          <w:sz w:val="24"/>
          <w:szCs w:val="24"/>
        </w:rPr>
        <w:t>Hong Kong</w:t>
      </w:r>
    </w:p>
    <w:p w14:paraId="214D55CF" w14:textId="76D00A52" w:rsidR="00005490" w:rsidRPr="00DB5FC8" w:rsidRDefault="00FA6B03" w:rsidP="00794AF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N</w:t>
      </w:r>
      <w:r w:rsidR="00005490" w:rsidRPr="00DB5FC8">
        <w:rPr>
          <w:rFonts w:ascii="Times New Roman" w:hAnsi="Times New Roman" w:cs="Times New Roman"/>
          <w:sz w:val="24"/>
          <w:szCs w:val="24"/>
        </w:rPr>
        <w:t>o VAT/GST</w:t>
      </w:r>
      <w:r w:rsidRPr="00DB5FC8">
        <w:rPr>
          <w:rFonts w:ascii="Times New Roman" w:hAnsi="Times New Roman" w:cs="Times New Roman"/>
          <w:sz w:val="24"/>
          <w:szCs w:val="24"/>
        </w:rPr>
        <w:t>.</w:t>
      </w:r>
    </w:p>
    <w:p w14:paraId="2EE1B46D" w14:textId="51F1197C" w:rsidR="00005490" w:rsidRPr="00DB5FC8" w:rsidRDefault="00FA6B03" w:rsidP="00794AF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I</w:t>
      </w:r>
      <w:r w:rsidR="00005490" w:rsidRPr="00DB5FC8">
        <w:rPr>
          <w:rFonts w:ascii="Times New Roman" w:hAnsi="Times New Roman" w:cs="Times New Roman"/>
          <w:sz w:val="24"/>
          <w:szCs w:val="24"/>
        </w:rPr>
        <w:t>ncome tax on the basis of b</w:t>
      </w:r>
      <w:r w:rsidRPr="00DB5FC8">
        <w:rPr>
          <w:rFonts w:ascii="Times New Roman" w:hAnsi="Times New Roman" w:cs="Times New Roman"/>
          <w:sz w:val="24"/>
          <w:szCs w:val="24"/>
        </w:rPr>
        <w:t>usiness carried on in Hong Kong.</w:t>
      </w:r>
    </w:p>
    <w:p w14:paraId="04AF99AD" w14:textId="36EB4A79" w:rsidR="00005490" w:rsidRPr="00DB5FC8" w:rsidRDefault="00FA6B03" w:rsidP="00794AF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Not likely to change.</w:t>
      </w:r>
    </w:p>
    <w:p w14:paraId="356A5C87" w14:textId="77777777" w:rsidR="00FA6B03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FA6B03">
        <w:rPr>
          <w:rFonts w:ascii="Times New Roman" w:hAnsi="Times New Roman" w:cs="Times New Roman"/>
          <w:b/>
          <w:sz w:val="24"/>
          <w:szCs w:val="24"/>
        </w:rPr>
        <w:t>Australia</w:t>
      </w:r>
    </w:p>
    <w:p w14:paraId="2DC3B6AB" w14:textId="007F2626" w:rsidR="00005490" w:rsidRPr="00DB5FC8" w:rsidRDefault="00FA6B03" w:rsidP="00794AF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A</w:t>
      </w:r>
      <w:r w:rsidR="00005490" w:rsidRPr="00DB5FC8">
        <w:rPr>
          <w:rFonts w:ascii="Times New Roman" w:hAnsi="Times New Roman" w:cs="Times New Roman"/>
          <w:sz w:val="24"/>
          <w:szCs w:val="24"/>
        </w:rPr>
        <w:t>dopting OECD position from 1 July 2017 applicable to all intangi</w:t>
      </w:r>
      <w:r w:rsidRPr="00DB5FC8">
        <w:rPr>
          <w:rFonts w:ascii="Times New Roman" w:hAnsi="Times New Roman" w:cs="Times New Roman"/>
          <w:sz w:val="24"/>
          <w:szCs w:val="24"/>
        </w:rPr>
        <w:t>bles including digital services.</w:t>
      </w:r>
    </w:p>
    <w:p w14:paraId="484393C4" w14:textId="1532CC4A" w:rsidR="00005490" w:rsidRPr="00DB5FC8" w:rsidRDefault="00FA6B03" w:rsidP="00794AF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N</w:t>
      </w:r>
      <w:r w:rsidR="00005490" w:rsidRPr="00DB5FC8">
        <w:rPr>
          <w:rFonts w:ascii="Times New Roman" w:hAnsi="Times New Roman" w:cs="Times New Roman"/>
          <w:sz w:val="24"/>
          <w:szCs w:val="24"/>
        </w:rPr>
        <w:t>o threshold for intangibles. For non-intangibles it is proposed that foreign suppliers with Australian turnover of AUD75,000 or more will be required to register and pay GST.</w:t>
      </w:r>
    </w:p>
    <w:p w14:paraId="093A5126" w14:textId="0E89115B" w:rsidR="00005490" w:rsidRPr="00DB5FC8" w:rsidRDefault="00FA6B03" w:rsidP="00794AF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Income tax is based on a PE.</w:t>
      </w:r>
    </w:p>
    <w:p w14:paraId="1D47D80D" w14:textId="77777777" w:rsidR="00005490" w:rsidRPr="00A86761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86761">
        <w:rPr>
          <w:rFonts w:ascii="Times New Roman" w:hAnsi="Times New Roman" w:cs="Times New Roman"/>
          <w:b/>
          <w:sz w:val="24"/>
          <w:szCs w:val="24"/>
        </w:rPr>
        <w:t>China</w:t>
      </w:r>
    </w:p>
    <w:p w14:paraId="68383BDE" w14:textId="2702D7ED" w:rsidR="00005490" w:rsidRPr="00DB5FC8" w:rsidRDefault="00005490" w:rsidP="00794AF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VAT is limited to the supply of software not digital supplies.</w:t>
      </w:r>
    </w:p>
    <w:p w14:paraId="3428B69F" w14:textId="4FF74D7A" w:rsidR="00005490" w:rsidRPr="00DB5FC8" w:rsidRDefault="00FA6B03" w:rsidP="00794AF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I</w:t>
      </w:r>
      <w:r w:rsidR="00005490" w:rsidRPr="00DB5FC8">
        <w:rPr>
          <w:rFonts w:ascii="Times New Roman" w:hAnsi="Times New Roman" w:cs="Times New Roman"/>
          <w:sz w:val="24"/>
          <w:szCs w:val="24"/>
        </w:rPr>
        <w:t>ncome tax is based on a PE.</w:t>
      </w:r>
    </w:p>
    <w:p w14:paraId="18F2BAE5" w14:textId="77777777" w:rsidR="00005490" w:rsidRPr="00A86761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86761">
        <w:rPr>
          <w:rFonts w:ascii="Times New Roman" w:hAnsi="Times New Roman" w:cs="Times New Roman"/>
          <w:b/>
          <w:sz w:val="24"/>
          <w:szCs w:val="24"/>
        </w:rPr>
        <w:t>Taiwan</w:t>
      </w:r>
    </w:p>
    <w:p w14:paraId="32F8A175" w14:textId="130C787E" w:rsidR="00005490" w:rsidRPr="00DB5FC8" w:rsidRDefault="00FA6B03" w:rsidP="00794AF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D</w:t>
      </w:r>
      <w:r w:rsidR="00005490" w:rsidRPr="00DB5FC8">
        <w:rPr>
          <w:rFonts w:ascii="Times New Roman" w:hAnsi="Times New Roman" w:cs="Times New Roman"/>
          <w:sz w:val="24"/>
          <w:szCs w:val="24"/>
        </w:rPr>
        <w:t>igital supplies subject to VAT with a threshold of USD90.00 per sale. This may be reduced.</w:t>
      </w:r>
    </w:p>
    <w:p w14:paraId="2A6FA865" w14:textId="5114F200" w:rsidR="00005490" w:rsidRPr="00DB5FC8" w:rsidRDefault="00FA6B03" w:rsidP="00794AF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F</w:t>
      </w:r>
      <w:r w:rsidR="00005490" w:rsidRPr="00DB5FC8">
        <w:rPr>
          <w:rFonts w:ascii="Times New Roman" w:hAnsi="Times New Roman" w:cs="Times New Roman"/>
          <w:sz w:val="24"/>
          <w:szCs w:val="24"/>
        </w:rPr>
        <w:t>or income tax withholding tax of 20% is imposed.</w:t>
      </w:r>
    </w:p>
    <w:p w14:paraId="189BE224" w14:textId="77777777" w:rsidR="00005490" w:rsidRPr="00A86761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86761">
        <w:rPr>
          <w:rFonts w:ascii="Times New Roman" w:hAnsi="Times New Roman" w:cs="Times New Roman"/>
          <w:b/>
          <w:sz w:val="24"/>
          <w:szCs w:val="24"/>
        </w:rPr>
        <w:t>Singapore</w:t>
      </w:r>
    </w:p>
    <w:p w14:paraId="2F3F4271" w14:textId="77A729CC" w:rsidR="00005490" w:rsidRPr="00DB5FC8" w:rsidRDefault="00FA6B03" w:rsidP="00794AF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N</w:t>
      </w:r>
      <w:r w:rsidR="00005490" w:rsidRPr="00DB5FC8">
        <w:rPr>
          <w:rFonts w:ascii="Times New Roman" w:hAnsi="Times New Roman" w:cs="Times New Roman"/>
          <w:sz w:val="24"/>
          <w:szCs w:val="24"/>
        </w:rPr>
        <w:t>o GST on digital supplies (a reverse charge for B2B supplies is to be introduced).</w:t>
      </w:r>
    </w:p>
    <w:p w14:paraId="28E4A7D8" w14:textId="26A29B85" w:rsidR="00005490" w:rsidRPr="00DB5FC8" w:rsidRDefault="00FA6B03" w:rsidP="00794AF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I</w:t>
      </w:r>
      <w:r w:rsidR="00005490" w:rsidRPr="00DB5FC8">
        <w:rPr>
          <w:rFonts w:ascii="Times New Roman" w:hAnsi="Times New Roman" w:cs="Times New Roman"/>
          <w:sz w:val="24"/>
          <w:szCs w:val="24"/>
        </w:rPr>
        <w:t>ncome tax only on the basis of bu</w:t>
      </w:r>
      <w:r w:rsidRPr="00DB5FC8">
        <w:rPr>
          <w:rFonts w:ascii="Times New Roman" w:hAnsi="Times New Roman" w:cs="Times New Roman"/>
          <w:sz w:val="24"/>
          <w:szCs w:val="24"/>
        </w:rPr>
        <w:t>siness carried on in Singapore.</w:t>
      </w:r>
    </w:p>
    <w:p w14:paraId="3024935D" w14:textId="77777777" w:rsidR="00005490" w:rsidRPr="00A86761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86761">
        <w:rPr>
          <w:rFonts w:ascii="Times New Roman" w:hAnsi="Times New Roman" w:cs="Times New Roman"/>
          <w:b/>
          <w:sz w:val="24"/>
          <w:szCs w:val="24"/>
        </w:rPr>
        <w:t>Japan</w:t>
      </w:r>
    </w:p>
    <w:p w14:paraId="063610DC" w14:textId="37223D90" w:rsidR="00005490" w:rsidRPr="00DB5FC8" w:rsidRDefault="00005490" w:rsidP="00794AF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Consumption Tax is imposed on foreign digital B2C supplies.</w:t>
      </w:r>
    </w:p>
    <w:p w14:paraId="633172A1" w14:textId="77777777" w:rsidR="00005490" w:rsidRPr="00DB5FC8" w:rsidRDefault="00005490" w:rsidP="00794AF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Threshold is JPY10 million. Reverse charge on B2B supplies.</w:t>
      </w:r>
    </w:p>
    <w:p w14:paraId="68B458C0" w14:textId="1C5E243E" w:rsidR="00005490" w:rsidRPr="00DB5FC8" w:rsidRDefault="00FA6B03" w:rsidP="00794AF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I</w:t>
      </w:r>
      <w:r w:rsidR="00005490" w:rsidRPr="00DB5FC8">
        <w:rPr>
          <w:rFonts w:ascii="Times New Roman" w:hAnsi="Times New Roman" w:cs="Times New Roman"/>
          <w:sz w:val="24"/>
          <w:szCs w:val="24"/>
        </w:rPr>
        <w:t>ncome tax is based on PE.</w:t>
      </w:r>
    </w:p>
    <w:p w14:paraId="69BDACDE" w14:textId="5B2369B9" w:rsidR="00005490" w:rsidRPr="00A86761" w:rsidRDefault="00FA6B03" w:rsidP="00005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Regional Observations</w:t>
      </w:r>
    </w:p>
    <w:p w14:paraId="2C9DA8CD" w14:textId="43D851C6" w:rsidR="00005490" w:rsidRPr="00DB5FC8" w:rsidRDefault="00005490" w:rsidP="00794AF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Australia, Japan and Taiwan only impose VAT/GST on foreign digital supplies consistent with the OECD recommendation.</w:t>
      </w:r>
    </w:p>
    <w:p w14:paraId="37618662" w14:textId="33F11826" w:rsidR="00005490" w:rsidRPr="00DB5FC8" w:rsidRDefault="00FA6B03" w:rsidP="00794AF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T</w:t>
      </w:r>
      <w:r w:rsidR="00005490" w:rsidRPr="00DB5FC8">
        <w:rPr>
          <w:rFonts w:ascii="Times New Roman" w:hAnsi="Times New Roman" w:cs="Times New Roman"/>
          <w:sz w:val="24"/>
          <w:szCs w:val="24"/>
        </w:rPr>
        <w:t>here is no overall move towards extending consumption taxes to capture digital supplies.</w:t>
      </w:r>
    </w:p>
    <w:p w14:paraId="336D2323" w14:textId="1C2B0875" w:rsidR="00005490" w:rsidRPr="00DB5FC8" w:rsidRDefault="00FA6B03" w:rsidP="00794AF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005490" w:rsidRPr="00DB5FC8">
        <w:rPr>
          <w:rFonts w:ascii="Times New Roman" w:hAnsi="Times New Roman" w:cs="Times New Roman"/>
          <w:sz w:val="24"/>
          <w:szCs w:val="24"/>
        </w:rPr>
        <w:t>ncome tax is limited to the conduct of a business or PE in all jurisdictions.</w:t>
      </w:r>
    </w:p>
    <w:p w14:paraId="7CE9BEC4" w14:textId="77777777" w:rsidR="00005490" w:rsidRPr="00005490" w:rsidRDefault="00005490" w:rsidP="00005490">
      <w:pPr>
        <w:rPr>
          <w:rFonts w:ascii="Times New Roman" w:hAnsi="Times New Roman" w:cs="Times New Roman"/>
          <w:sz w:val="24"/>
          <w:szCs w:val="24"/>
        </w:rPr>
      </w:pPr>
    </w:p>
    <w:p w14:paraId="464944C1" w14:textId="53CACB11" w:rsidR="00005490" w:rsidRPr="00FA6B03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DB5FC8">
        <w:rPr>
          <w:rFonts w:ascii="Times New Roman" w:hAnsi="Times New Roman" w:cs="Times New Roman"/>
          <w:b/>
          <w:sz w:val="24"/>
          <w:szCs w:val="24"/>
          <w:highlight w:val="lightGray"/>
        </w:rPr>
        <w:t>Action 2</w:t>
      </w:r>
      <w:r w:rsidR="00DB5FC8" w:rsidRPr="00DB5FC8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Pr="00DB5FC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Neutralize the Effects of Hy</w:t>
      </w:r>
      <w:r w:rsidR="00FA6B03" w:rsidRPr="00DB5FC8">
        <w:rPr>
          <w:rFonts w:ascii="Times New Roman" w:hAnsi="Times New Roman" w:cs="Times New Roman"/>
          <w:b/>
          <w:sz w:val="24"/>
          <w:szCs w:val="24"/>
          <w:highlight w:val="lightGray"/>
        </w:rPr>
        <w:t>brid Mismatches</w:t>
      </w:r>
    </w:p>
    <w:p w14:paraId="03DF78D5" w14:textId="77777777" w:rsidR="00005490" w:rsidRPr="00A86761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86761">
        <w:rPr>
          <w:rFonts w:ascii="Times New Roman" w:hAnsi="Times New Roman" w:cs="Times New Roman"/>
          <w:b/>
          <w:sz w:val="24"/>
          <w:szCs w:val="24"/>
        </w:rPr>
        <w:t>Malaysia</w:t>
      </w:r>
    </w:p>
    <w:p w14:paraId="2F2B3941" w14:textId="4E8455D6" w:rsidR="00005490" w:rsidRPr="00DB5FC8" w:rsidRDefault="00FA6B03" w:rsidP="00794AF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A</w:t>
      </w:r>
      <w:r w:rsidR="00005490" w:rsidRPr="00DB5FC8">
        <w:rPr>
          <w:rFonts w:ascii="Times New Roman" w:hAnsi="Times New Roman" w:cs="Times New Roman"/>
          <w:sz w:val="24"/>
          <w:szCs w:val="24"/>
        </w:rPr>
        <w:t>s domestic income only is taxed limited opportunities to exploit mismatches.</w:t>
      </w:r>
    </w:p>
    <w:p w14:paraId="43748A53" w14:textId="615B3D69" w:rsidR="00005490" w:rsidRPr="00DB5FC8" w:rsidRDefault="00FA6B03" w:rsidP="00794AF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W</w:t>
      </w:r>
      <w:r w:rsidR="00005490" w:rsidRPr="00DB5FC8">
        <w:rPr>
          <w:rFonts w:ascii="Times New Roman" w:hAnsi="Times New Roman" w:cs="Times New Roman"/>
          <w:sz w:val="24"/>
          <w:szCs w:val="24"/>
        </w:rPr>
        <w:t>ait-and-see on OECD recommendations.</w:t>
      </w:r>
    </w:p>
    <w:p w14:paraId="68EB6C5D" w14:textId="77777777" w:rsidR="00005490" w:rsidRPr="00A86761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86761">
        <w:rPr>
          <w:rFonts w:ascii="Times New Roman" w:hAnsi="Times New Roman" w:cs="Times New Roman"/>
          <w:b/>
          <w:sz w:val="24"/>
          <w:szCs w:val="24"/>
        </w:rPr>
        <w:t>Hong Kong</w:t>
      </w:r>
    </w:p>
    <w:p w14:paraId="2AA9204D" w14:textId="623326AC" w:rsidR="00005490" w:rsidRPr="00DB5FC8" w:rsidRDefault="00FA6B03" w:rsidP="00794AF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E</w:t>
      </w:r>
      <w:r w:rsidR="00005490" w:rsidRPr="00DB5FC8">
        <w:rPr>
          <w:rFonts w:ascii="Times New Roman" w:hAnsi="Times New Roman" w:cs="Times New Roman"/>
          <w:sz w:val="24"/>
          <w:szCs w:val="24"/>
        </w:rPr>
        <w:t>xemption of dividend income and deductibility of interest may be exploitable.</w:t>
      </w:r>
    </w:p>
    <w:p w14:paraId="3548EEC2" w14:textId="4BDF9097" w:rsidR="00005490" w:rsidRPr="00DB5FC8" w:rsidRDefault="00FA6B03" w:rsidP="00794AF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D</w:t>
      </w:r>
      <w:r w:rsidR="00005490" w:rsidRPr="00DB5FC8">
        <w:rPr>
          <w:rFonts w:ascii="Times New Roman" w:hAnsi="Times New Roman" w:cs="Times New Roman"/>
          <w:sz w:val="24"/>
          <w:szCs w:val="24"/>
        </w:rPr>
        <w:t>omestic changes to the deductibility of income restrict the potential advantage.</w:t>
      </w:r>
    </w:p>
    <w:p w14:paraId="49FC5893" w14:textId="51B550FF" w:rsidR="00005490" w:rsidRPr="00DB5FC8" w:rsidRDefault="00DB5FC8" w:rsidP="00794AF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U</w:t>
      </w:r>
      <w:r w:rsidR="00005490" w:rsidRPr="00DB5FC8">
        <w:rPr>
          <w:rFonts w:ascii="Times New Roman" w:hAnsi="Times New Roman" w:cs="Times New Roman"/>
          <w:sz w:val="24"/>
          <w:szCs w:val="24"/>
        </w:rPr>
        <w:t>nlikely to introduce OECD recommendations.</w:t>
      </w:r>
    </w:p>
    <w:p w14:paraId="3140C5B0" w14:textId="77777777" w:rsidR="00005490" w:rsidRPr="00791A0A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791A0A">
        <w:rPr>
          <w:rFonts w:ascii="Times New Roman" w:hAnsi="Times New Roman" w:cs="Times New Roman"/>
          <w:b/>
          <w:sz w:val="24"/>
          <w:szCs w:val="24"/>
        </w:rPr>
        <w:t>Australia</w:t>
      </w:r>
    </w:p>
    <w:p w14:paraId="1CECB4E6" w14:textId="694B9AFD" w:rsidR="00005490" w:rsidRPr="00DB5FC8" w:rsidRDefault="00DB5FC8" w:rsidP="00794AF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A</w:t>
      </w:r>
      <w:r w:rsidR="00005490" w:rsidRPr="00DB5FC8">
        <w:rPr>
          <w:rFonts w:ascii="Times New Roman" w:hAnsi="Times New Roman" w:cs="Times New Roman"/>
          <w:sz w:val="24"/>
          <w:szCs w:val="24"/>
        </w:rPr>
        <w:t xml:space="preserve"> Board of Taxation Report provides guidance on how to introduce anti-hybrid rules consistent with the OECD recommendations.</w:t>
      </w:r>
    </w:p>
    <w:p w14:paraId="429CE60C" w14:textId="13578F36" w:rsidR="00005490" w:rsidRPr="00DB5FC8" w:rsidRDefault="00005490" w:rsidP="00794AF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Government has not indicated what approach it will take or when.</w:t>
      </w:r>
    </w:p>
    <w:p w14:paraId="18322E48" w14:textId="77777777" w:rsidR="00005490" w:rsidRPr="00A86761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86761">
        <w:rPr>
          <w:rFonts w:ascii="Times New Roman" w:hAnsi="Times New Roman" w:cs="Times New Roman"/>
          <w:b/>
          <w:sz w:val="24"/>
          <w:szCs w:val="24"/>
        </w:rPr>
        <w:t>China</w:t>
      </w:r>
    </w:p>
    <w:p w14:paraId="4F1B828E" w14:textId="1CA108C3" w:rsidR="00005490" w:rsidRPr="00DB5FC8" w:rsidRDefault="00DB5FC8" w:rsidP="00794AF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C</w:t>
      </w:r>
      <w:r w:rsidR="00005490" w:rsidRPr="00DB5FC8">
        <w:rPr>
          <w:rFonts w:ascii="Times New Roman" w:hAnsi="Times New Roman" w:cs="Times New Roman"/>
          <w:sz w:val="24"/>
          <w:szCs w:val="24"/>
        </w:rPr>
        <w:t>onstraints on foreign investment makes the use of hybrid instruments relatively limited.</w:t>
      </w:r>
    </w:p>
    <w:p w14:paraId="6D6C5893" w14:textId="77777777" w:rsidR="00005490" w:rsidRPr="00A86761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86761">
        <w:rPr>
          <w:rFonts w:ascii="Times New Roman" w:hAnsi="Times New Roman" w:cs="Times New Roman"/>
          <w:b/>
          <w:sz w:val="24"/>
          <w:szCs w:val="24"/>
        </w:rPr>
        <w:t>Taiwan</w:t>
      </w:r>
    </w:p>
    <w:p w14:paraId="203AD57B" w14:textId="77777777" w:rsidR="00DB5FC8" w:rsidRDefault="00DB5FC8" w:rsidP="00794AF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T</w:t>
      </w:r>
      <w:r w:rsidR="00005490" w:rsidRPr="00DB5FC8">
        <w:rPr>
          <w:rFonts w:ascii="Times New Roman" w:hAnsi="Times New Roman" w:cs="Times New Roman"/>
          <w:sz w:val="24"/>
          <w:szCs w:val="24"/>
        </w:rPr>
        <w:t>here are no obvious mismatch opportunities.</w:t>
      </w:r>
    </w:p>
    <w:p w14:paraId="1A3B451A" w14:textId="18710DC5" w:rsidR="00005490" w:rsidRPr="00DB5FC8" w:rsidRDefault="00DB5FC8" w:rsidP="00794AF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05490" w:rsidRPr="00DB5FC8">
        <w:rPr>
          <w:rFonts w:ascii="Times New Roman" w:hAnsi="Times New Roman" w:cs="Times New Roman"/>
          <w:sz w:val="24"/>
          <w:szCs w:val="24"/>
        </w:rPr>
        <w:t>o current proposal to introduce rules. The 'substance over form' approach of the legislation is likely to combat exploitation.</w:t>
      </w:r>
    </w:p>
    <w:p w14:paraId="6ED6B588" w14:textId="77777777" w:rsidR="00005490" w:rsidRPr="00A86761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86761">
        <w:rPr>
          <w:rFonts w:ascii="Times New Roman" w:hAnsi="Times New Roman" w:cs="Times New Roman"/>
          <w:b/>
          <w:sz w:val="24"/>
          <w:szCs w:val="24"/>
        </w:rPr>
        <w:t>Singapore</w:t>
      </w:r>
    </w:p>
    <w:p w14:paraId="66A95A07" w14:textId="77777777" w:rsidR="00DB5FC8" w:rsidRDefault="00DB5FC8" w:rsidP="00794AF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I</w:t>
      </w:r>
      <w:r w:rsidR="00005490" w:rsidRPr="00DB5FC8">
        <w:rPr>
          <w:rFonts w:ascii="Times New Roman" w:hAnsi="Times New Roman" w:cs="Times New Roman"/>
          <w:sz w:val="24"/>
          <w:szCs w:val="24"/>
        </w:rPr>
        <w:t>t is not clear that there has been exploitation of mismatches.</w:t>
      </w:r>
    </w:p>
    <w:p w14:paraId="51DA5C82" w14:textId="519E76A4" w:rsidR="00005490" w:rsidRPr="00DB5FC8" w:rsidRDefault="00DB5FC8" w:rsidP="00794AF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05490" w:rsidRPr="00DB5FC8">
        <w:rPr>
          <w:rFonts w:ascii="Times New Roman" w:hAnsi="Times New Roman" w:cs="Times New Roman"/>
          <w:sz w:val="24"/>
          <w:szCs w:val="24"/>
        </w:rPr>
        <w:t>GAAR would be likely to combat mismatches.</w:t>
      </w:r>
    </w:p>
    <w:p w14:paraId="411BCC74" w14:textId="77777777" w:rsidR="00005490" w:rsidRPr="00A86761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86761">
        <w:rPr>
          <w:rFonts w:ascii="Times New Roman" w:hAnsi="Times New Roman" w:cs="Times New Roman"/>
          <w:b/>
          <w:sz w:val="24"/>
          <w:szCs w:val="24"/>
        </w:rPr>
        <w:t>Japan</w:t>
      </w:r>
    </w:p>
    <w:p w14:paraId="6009AF71" w14:textId="77777777" w:rsidR="00DB5FC8" w:rsidRDefault="00DB5FC8" w:rsidP="00794AF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N</w:t>
      </w:r>
      <w:r w:rsidR="00005490" w:rsidRPr="00DB5FC8">
        <w:rPr>
          <w:rFonts w:ascii="Times New Roman" w:hAnsi="Times New Roman" w:cs="Times New Roman"/>
          <w:sz w:val="24"/>
          <w:szCs w:val="24"/>
        </w:rPr>
        <w:t>ear exemption of foreign dividends may be exploited by mismatches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FE7C1" w14:textId="36D8E304" w:rsidR="00005490" w:rsidRPr="00DB5FC8" w:rsidRDefault="00DB5FC8" w:rsidP="00794AF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05490" w:rsidRPr="00DB5FC8">
        <w:rPr>
          <w:rFonts w:ascii="Times New Roman" w:hAnsi="Times New Roman" w:cs="Times New Roman"/>
          <w:sz w:val="24"/>
          <w:szCs w:val="24"/>
        </w:rPr>
        <w:t>o immediate intention to introduce anti-mismatch rules.</w:t>
      </w:r>
    </w:p>
    <w:p w14:paraId="24CAA4AB" w14:textId="2FD646C0" w:rsidR="00005490" w:rsidRPr="00A86761" w:rsidRDefault="00005490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86761">
        <w:rPr>
          <w:rFonts w:ascii="Times New Roman" w:hAnsi="Times New Roman" w:cs="Times New Roman"/>
          <w:b/>
          <w:sz w:val="24"/>
          <w:szCs w:val="24"/>
        </w:rPr>
        <w:t>G</w:t>
      </w:r>
      <w:r w:rsidR="00DB5FC8">
        <w:rPr>
          <w:rFonts w:ascii="Times New Roman" w:hAnsi="Times New Roman" w:cs="Times New Roman"/>
          <w:b/>
          <w:sz w:val="24"/>
          <w:szCs w:val="24"/>
        </w:rPr>
        <w:t>eneral Regional Observations</w:t>
      </w:r>
    </w:p>
    <w:p w14:paraId="389CD889" w14:textId="77777777" w:rsidR="00DB5FC8" w:rsidRDefault="00DB5FC8" w:rsidP="00794AF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M</w:t>
      </w:r>
      <w:r w:rsidR="00005490" w:rsidRPr="00DB5FC8">
        <w:rPr>
          <w:rFonts w:ascii="Times New Roman" w:hAnsi="Times New Roman" w:cs="Times New Roman"/>
          <w:sz w:val="24"/>
          <w:szCs w:val="24"/>
        </w:rPr>
        <w:t>ismatches do not appear to be of wide concern in the region.</w:t>
      </w:r>
    </w:p>
    <w:p w14:paraId="6389D5B9" w14:textId="44826186" w:rsidR="00005490" w:rsidRPr="00DB5FC8" w:rsidRDefault="00DB5FC8" w:rsidP="00794AF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05490" w:rsidRPr="00DB5FC8">
        <w:rPr>
          <w:rFonts w:ascii="Times New Roman" w:hAnsi="Times New Roman" w:cs="Times New Roman"/>
          <w:sz w:val="24"/>
          <w:szCs w:val="24"/>
        </w:rPr>
        <w:t>nly A</w:t>
      </w:r>
      <w:r w:rsidR="00791A0A" w:rsidRPr="00DB5FC8">
        <w:rPr>
          <w:rFonts w:ascii="Times New Roman" w:hAnsi="Times New Roman" w:cs="Times New Roman"/>
          <w:sz w:val="24"/>
          <w:szCs w:val="24"/>
        </w:rPr>
        <w:t>ustralia may go ahead with anti-</w:t>
      </w:r>
      <w:r w:rsidR="00005490" w:rsidRPr="00DB5FC8">
        <w:rPr>
          <w:rFonts w:ascii="Times New Roman" w:hAnsi="Times New Roman" w:cs="Times New Roman"/>
          <w:sz w:val="24"/>
          <w:szCs w:val="24"/>
        </w:rPr>
        <w:t>hybrid rules but even that is not certain.</w:t>
      </w:r>
    </w:p>
    <w:p w14:paraId="7179DAC9" w14:textId="118C1208" w:rsidR="00A86761" w:rsidRDefault="00A86761" w:rsidP="00005490">
      <w:pPr>
        <w:rPr>
          <w:rFonts w:ascii="Times New Roman" w:hAnsi="Times New Roman" w:cs="Times New Roman"/>
          <w:sz w:val="24"/>
          <w:szCs w:val="24"/>
        </w:rPr>
      </w:pPr>
    </w:p>
    <w:p w14:paraId="053950DA" w14:textId="0C14C515" w:rsidR="00A73CA9" w:rsidRPr="00A73CA9" w:rsidRDefault="00DB5FC8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5FC8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Action 3: Strengthening CFC rules</w:t>
      </w:r>
    </w:p>
    <w:p w14:paraId="02DF7FAF" w14:textId="319A6CEE" w:rsidR="00A73CA9" w:rsidRPr="00A73CA9" w:rsidRDefault="00DB5FC8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Malaysia</w:t>
      </w:r>
    </w:p>
    <w:p w14:paraId="533210CC" w14:textId="0B1D99F6" w:rsidR="00A73CA9" w:rsidRPr="00DB5FC8" w:rsidRDefault="00DB5FC8" w:rsidP="00794AF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N</w:t>
      </w:r>
      <w:r w:rsidR="00A73CA9" w:rsidRPr="00DB5FC8">
        <w:rPr>
          <w:rFonts w:ascii="Times New Roman" w:hAnsi="Times New Roman" w:cs="Times New Roman"/>
          <w:sz w:val="24"/>
          <w:szCs w:val="24"/>
        </w:rPr>
        <w:t>o CFC rules and no indication that they will be introduced.</w:t>
      </w:r>
    </w:p>
    <w:p w14:paraId="42BB531B" w14:textId="77777777" w:rsidR="00A73CA9" w:rsidRPr="00A73CA9" w:rsidRDefault="00A73CA9" w:rsidP="00A73CA9">
      <w:pPr>
        <w:rPr>
          <w:rFonts w:ascii="Times New Roman" w:hAnsi="Times New Roman" w:cs="Times New Roman"/>
          <w:sz w:val="24"/>
          <w:szCs w:val="24"/>
        </w:rPr>
      </w:pPr>
    </w:p>
    <w:p w14:paraId="276FF9FE" w14:textId="6D2693EA" w:rsidR="00A73CA9" w:rsidRPr="00A73CA9" w:rsidRDefault="00DB5FC8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Hong Kong</w:t>
      </w:r>
    </w:p>
    <w:p w14:paraId="71820A6F" w14:textId="3683815F" w:rsidR="00A73CA9" w:rsidRPr="00DB5FC8" w:rsidRDefault="00DB5FC8" w:rsidP="00794AF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A73CA9" w:rsidRPr="00DB5FC8">
        <w:rPr>
          <w:rFonts w:ascii="Times New Roman" w:hAnsi="Times New Roman" w:cs="Times New Roman"/>
          <w:sz w:val="24"/>
          <w:szCs w:val="24"/>
        </w:rPr>
        <w:t>CFC rules and not likely to be introduced.</w:t>
      </w:r>
    </w:p>
    <w:p w14:paraId="24D7285B" w14:textId="35305843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B5FC8">
        <w:rPr>
          <w:rFonts w:ascii="Times New Roman" w:hAnsi="Times New Roman" w:cs="Times New Roman"/>
          <w:b/>
          <w:bCs/>
          <w:sz w:val="24"/>
          <w:szCs w:val="24"/>
        </w:rPr>
        <w:t>ustralia</w:t>
      </w:r>
    </w:p>
    <w:p w14:paraId="7CC15ED9" w14:textId="61814F7C" w:rsidR="00A73CA9" w:rsidRPr="00DB5FC8" w:rsidRDefault="00A73CA9" w:rsidP="00794AF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CFC rules are consistent with OECD standards.</w:t>
      </w:r>
    </w:p>
    <w:p w14:paraId="2160A80A" w14:textId="101DC67C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B5FC8">
        <w:rPr>
          <w:rFonts w:ascii="Times New Roman" w:hAnsi="Times New Roman" w:cs="Times New Roman"/>
          <w:b/>
          <w:bCs/>
          <w:sz w:val="24"/>
          <w:szCs w:val="24"/>
        </w:rPr>
        <w:t>hina</w:t>
      </w:r>
    </w:p>
    <w:p w14:paraId="76B9D02E" w14:textId="6F1D058D" w:rsidR="00A73CA9" w:rsidRPr="00DB5FC8" w:rsidRDefault="00A73CA9" w:rsidP="00794AF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CFC rules introduced in 2008 and are in the process of being upgraded.</w:t>
      </w:r>
    </w:p>
    <w:p w14:paraId="51747C8E" w14:textId="067CF56B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B5FC8">
        <w:rPr>
          <w:rFonts w:ascii="Times New Roman" w:hAnsi="Times New Roman" w:cs="Times New Roman"/>
          <w:b/>
          <w:bCs/>
          <w:sz w:val="24"/>
          <w:szCs w:val="24"/>
        </w:rPr>
        <w:t>aiwan</w:t>
      </w:r>
    </w:p>
    <w:p w14:paraId="013C2B53" w14:textId="3DCF8527" w:rsidR="00A73CA9" w:rsidRPr="00DB5FC8" w:rsidRDefault="00DB5FC8" w:rsidP="00794AF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P</w:t>
      </w:r>
      <w:r w:rsidR="00A73CA9" w:rsidRPr="00DB5FC8">
        <w:rPr>
          <w:rFonts w:ascii="Times New Roman" w:hAnsi="Times New Roman" w:cs="Times New Roman"/>
          <w:sz w:val="24"/>
          <w:szCs w:val="24"/>
        </w:rPr>
        <w:t xml:space="preserve">roposed to be introduced in 2013 but still in the legislative process. </w:t>
      </w:r>
    </w:p>
    <w:p w14:paraId="7C56B2BD" w14:textId="0F20A48F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B5FC8">
        <w:rPr>
          <w:rFonts w:ascii="Times New Roman" w:hAnsi="Times New Roman" w:cs="Times New Roman"/>
          <w:b/>
          <w:bCs/>
          <w:sz w:val="24"/>
          <w:szCs w:val="24"/>
        </w:rPr>
        <w:t>ingapore</w:t>
      </w:r>
    </w:p>
    <w:p w14:paraId="0C739501" w14:textId="030B9685" w:rsidR="00A73CA9" w:rsidRPr="00DB5FC8" w:rsidRDefault="00DB5FC8" w:rsidP="00794AF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N</w:t>
      </w:r>
      <w:r w:rsidR="00A73CA9" w:rsidRPr="00DB5FC8">
        <w:rPr>
          <w:rFonts w:ascii="Times New Roman" w:hAnsi="Times New Roman" w:cs="Times New Roman"/>
          <w:sz w:val="24"/>
          <w:szCs w:val="24"/>
        </w:rPr>
        <w:t>o CFC rules and no apparent intention to introduce them.</w:t>
      </w:r>
    </w:p>
    <w:p w14:paraId="492811D7" w14:textId="3B970580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DB5FC8">
        <w:rPr>
          <w:rFonts w:ascii="Times New Roman" w:hAnsi="Times New Roman" w:cs="Times New Roman"/>
          <w:b/>
          <w:bCs/>
          <w:sz w:val="24"/>
          <w:szCs w:val="24"/>
        </w:rPr>
        <w:t>apan</w:t>
      </w:r>
    </w:p>
    <w:p w14:paraId="6243371D" w14:textId="5CF40C71" w:rsidR="00A73CA9" w:rsidRPr="00DB5FC8" w:rsidRDefault="00A73CA9" w:rsidP="00794AF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CFC rules are regarded as adequate.</w:t>
      </w:r>
    </w:p>
    <w:p w14:paraId="47A6480C" w14:textId="77777777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General regional observations.</w:t>
      </w:r>
    </w:p>
    <w:p w14:paraId="5126DF82" w14:textId="178DAA67" w:rsidR="00A73CA9" w:rsidRPr="00DB5FC8" w:rsidRDefault="00DB5FC8" w:rsidP="00794AF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bCs/>
          <w:sz w:val="24"/>
          <w:szCs w:val="24"/>
        </w:rPr>
        <w:t>A</w:t>
      </w:r>
      <w:r w:rsidR="00A73CA9" w:rsidRPr="00DB5FC8">
        <w:rPr>
          <w:rFonts w:ascii="Times New Roman" w:hAnsi="Times New Roman" w:cs="Times New Roman"/>
          <w:sz w:val="24"/>
          <w:szCs w:val="24"/>
        </w:rPr>
        <w:t>s expected jurisdictions which impose tax only on domestic source income have no need for CFC rules.</w:t>
      </w:r>
    </w:p>
    <w:p w14:paraId="5B594E53" w14:textId="75C48531" w:rsidR="00A73CA9" w:rsidRPr="00A73CA9" w:rsidRDefault="00794AF7" w:rsidP="00A73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C7970" w14:textId="1901911D" w:rsidR="00A73CA9" w:rsidRPr="00A73CA9" w:rsidRDefault="00DB5FC8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5FC8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Action 4: Interest limitation rules</w:t>
      </w:r>
    </w:p>
    <w:p w14:paraId="20FB8193" w14:textId="5CFA798F" w:rsidR="00A73CA9" w:rsidRPr="00A73CA9" w:rsidRDefault="00DB5FC8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Malaysia</w:t>
      </w:r>
    </w:p>
    <w:p w14:paraId="6586C846" w14:textId="77777777" w:rsidR="00C7582D" w:rsidRDefault="00DB5FC8" w:rsidP="00794AF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5FC8">
        <w:rPr>
          <w:rFonts w:ascii="Times New Roman" w:hAnsi="Times New Roman" w:cs="Times New Roman"/>
          <w:sz w:val="24"/>
          <w:szCs w:val="24"/>
        </w:rPr>
        <w:t>I</w:t>
      </w:r>
      <w:r w:rsidR="00A73CA9" w:rsidRPr="00DB5FC8">
        <w:rPr>
          <w:rFonts w:ascii="Times New Roman" w:hAnsi="Times New Roman" w:cs="Times New Roman"/>
          <w:sz w:val="24"/>
          <w:szCs w:val="24"/>
        </w:rPr>
        <w:t>ntra-group interest charges</w:t>
      </w:r>
      <w:r w:rsidRPr="00DB5FC8">
        <w:rPr>
          <w:rFonts w:ascii="Times New Roman" w:hAnsi="Times New Roman" w:cs="Times New Roman"/>
          <w:sz w:val="24"/>
          <w:szCs w:val="24"/>
        </w:rPr>
        <w:t xml:space="preserve"> </w:t>
      </w:r>
      <w:r w:rsidR="00A73CA9" w:rsidRPr="00DB5FC8">
        <w:rPr>
          <w:rFonts w:ascii="Times New Roman" w:hAnsi="Times New Roman" w:cs="Times New Roman"/>
          <w:sz w:val="24"/>
          <w:szCs w:val="24"/>
        </w:rPr>
        <w:t>(both domestic and international) are subject to thin capitalisation rules but which have been deferred in their application to January 2018.</w:t>
      </w:r>
    </w:p>
    <w:p w14:paraId="6DC60930" w14:textId="77777777" w:rsidR="00C7582D" w:rsidRDefault="00C7582D" w:rsidP="00794AF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73CA9" w:rsidRPr="00C7582D">
        <w:rPr>
          <w:rFonts w:ascii="Times New Roman" w:hAnsi="Times New Roman" w:cs="Times New Roman"/>
          <w:sz w:val="24"/>
          <w:szCs w:val="24"/>
        </w:rPr>
        <w:t>ixed ratio rule has virtue of simplicity but difficult to compare with existing legislation as it has not yet been implemented.</w:t>
      </w:r>
    </w:p>
    <w:p w14:paraId="3C6CB0BF" w14:textId="77777777" w:rsidR="00C7582D" w:rsidRDefault="00C7582D" w:rsidP="00794AF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73CA9" w:rsidRPr="00C7582D">
        <w:rPr>
          <w:rFonts w:ascii="Times New Roman" w:hAnsi="Times New Roman" w:cs="Times New Roman"/>
          <w:sz w:val="24"/>
          <w:szCs w:val="24"/>
        </w:rPr>
        <w:t xml:space="preserve"> group ratio rule may prevent leakage of revenue when debt is incurred for non-tax reasons.</w:t>
      </w:r>
    </w:p>
    <w:p w14:paraId="13C3E48A" w14:textId="01272CA7" w:rsidR="00E02C05" w:rsidRPr="00C7582D" w:rsidRDefault="00C7582D" w:rsidP="00794AF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73CA9" w:rsidRPr="00C7582D">
        <w:rPr>
          <w:rFonts w:ascii="Times New Roman" w:hAnsi="Times New Roman" w:cs="Times New Roman"/>
          <w:sz w:val="24"/>
          <w:szCs w:val="24"/>
        </w:rPr>
        <w:t>roblems in implementing fixed ratio or group ratio rules include ease of access to relevant financial information on a timely basis.</w:t>
      </w:r>
    </w:p>
    <w:p w14:paraId="2C2EE0F0" w14:textId="0ED4285D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C7582D">
        <w:rPr>
          <w:rFonts w:ascii="Times New Roman" w:hAnsi="Times New Roman" w:cs="Times New Roman"/>
          <w:b/>
          <w:bCs/>
          <w:sz w:val="24"/>
          <w:szCs w:val="24"/>
        </w:rPr>
        <w:t>ong Kong</w:t>
      </w:r>
    </w:p>
    <w:p w14:paraId="575DA97B" w14:textId="77777777" w:rsidR="00C7582D" w:rsidRDefault="00C7582D" w:rsidP="00794AF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7582D">
        <w:rPr>
          <w:rFonts w:ascii="Times New Roman" w:hAnsi="Times New Roman" w:cs="Times New Roman"/>
          <w:sz w:val="24"/>
          <w:szCs w:val="24"/>
        </w:rPr>
        <w:t>E</w:t>
      </w:r>
      <w:r w:rsidR="00A73CA9" w:rsidRPr="00C7582D">
        <w:rPr>
          <w:rFonts w:ascii="Times New Roman" w:hAnsi="Times New Roman" w:cs="Times New Roman"/>
          <w:sz w:val="24"/>
          <w:szCs w:val="24"/>
        </w:rPr>
        <w:t>xisting rules limit tax deductions where borrowing from an entity other than a financial institution unless the interest is taxable in Hong Kong.</w:t>
      </w:r>
    </w:p>
    <w:p w14:paraId="751462F1" w14:textId="77777777" w:rsidR="00C7582D" w:rsidRDefault="00C7582D" w:rsidP="00794AF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73CA9" w:rsidRPr="00C7582D">
        <w:rPr>
          <w:rFonts w:ascii="Times New Roman" w:hAnsi="Times New Roman" w:cs="Times New Roman"/>
          <w:sz w:val="24"/>
          <w:szCs w:val="24"/>
        </w:rPr>
        <w:t>nti-avoidance rules apply to back-to-back loans.</w:t>
      </w:r>
    </w:p>
    <w:p w14:paraId="2069316F" w14:textId="178E2F45" w:rsidR="00C7582D" w:rsidRDefault="00C7582D" w:rsidP="00794AF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73CA9" w:rsidRPr="00C7582D">
        <w:rPr>
          <w:rFonts w:ascii="Times New Roman" w:hAnsi="Times New Roman" w:cs="Times New Roman"/>
          <w:sz w:val="24"/>
          <w:szCs w:val="24"/>
        </w:rPr>
        <w:t>ixed ratio rule does not fit into the existing limitation rules which require tax to be paid on the interest. Also regarded as inappropriate for highly leveraged entities for non-tax reasons (</w:t>
      </w:r>
      <w:r w:rsidR="00794AF7" w:rsidRPr="00C7582D">
        <w:rPr>
          <w:rFonts w:ascii="Times New Roman" w:hAnsi="Times New Roman" w:cs="Times New Roman"/>
          <w:sz w:val="24"/>
          <w:szCs w:val="24"/>
        </w:rPr>
        <w:t>e.g.</w:t>
      </w:r>
      <w:r w:rsidR="00A73CA9" w:rsidRPr="00C7582D">
        <w:rPr>
          <w:rFonts w:ascii="Times New Roman" w:hAnsi="Times New Roman" w:cs="Times New Roman"/>
          <w:sz w:val="24"/>
          <w:szCs w:val="24"/>
        </w:rPr>
        <w:t xml:space="preserve"> airlines).</w:t>
      </w:r>
    </w:p>
    <w:p w14:paraId="43DA4208" w14:textId="77777777" w:rsidR="00C7582D" w:rsidRDefault="00C7582D" w:rsidP="00794AF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73CA9" w:rsidRPr="00C7582D">
        <w:rPr>
          <w:rFonts w:ascii="Times New Roman" w:hAnsi="Times New Roman" w:cs="Times New Roman"/>
          <w:sz w:val="24"/>
          <w:szCs w:val="24"/>
        </w:rPr>
        <w:t xml:space="preserve"> group ratio rule is seen to be an amelioration of the fixed ratio rule. </w:t>
      </w:r>
    </w:p>
    <w:p w14:paraId="59339A99" w14:textId="0532E15E" w:rsidR="00A73CA9" w:rsidRPr="00C7582D" w:rsidRDefault="00C7582D" w:rsidP="00794AF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A73CA9" w:rsidRPr="00C7582D">
        <w:rPr>
          <w:rFonts w:ascii="Times New Roman" w:hAnsi="Times New Roman" w:cs="Times New Roman"/>
          <w:sz w:val="24"/>
          <w:szCs w:val="24"/>
        </w:rPr>
        <w:t>ccess to relevant financial information on a timely basis is likely to be a problem for the group ratio rule.</w:t>
      </w:r>
    </w:p>
    <w:p w14:paraId="0E8376F4" w14:textId="77777777" w:rsidR="00C7582D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7582D">
        <w:rPr>
          <w:rFonts w:ascii="Times New Roman" w:hAnsi="Times New Roman" w:cs="Times New Roman"/>
          <w:b/>
          <w:bCs/>
          <w:sz w:val="24"/>
          <w:szCs w:val="24"/>
        </w:rPr>
        <w:t>ustralia</w:t>
      </w:r>
    </w:p>
    <w:p w14:paraId="1E91885A" w14:textId="77777777" w:rsidR="00C7582D" w:rsidRPr="00C7582D" w:rsidRDefault="00C7582D" w:rsidP="00794AF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73CA9" w:rsidRPr="00C7582D">
        <w:rPr>
          <w:rFonts w:ascii="Times New Roman" w:hAnsi="Times New Roman" w:cs="Times New Roman"/>
          <w:sz w:val="24"/>
          <w:szCs w:val="24"/>
        </w:rPr>
        <w:t>hin capitalisation rules operate to limit interest deductions on international funding.</w:t>
      </w:r>
    </w:p>
    <w:p w14:paraId="53C69F7E" w14:textId="77777777" w:rsidR="00C7582D" w:rsidRPr="00C7582D" w:rsidRDefault="00C7582D" w:rsidP="00794AF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73CA9" w:rsidRPr="00C7582D">
        <w:rPr>
          <w:rFonts w:ascii="Times New Roman" w:hAnsi="Times New Roman" w:cs="Times New Roman"/>
          <w:sz w:val="24"/>
          <w:szCs w:val="24"/>
        </w:rPr>
        <w:t>here is a significant difference between the current ‘safe harbour’ approach and the fixed ratio approach and it is unlikely to change.</w:t>
      </w:r>
    </w:p>
    <w:p w14:paraId="0B34D757" w14:textId="768EF4B9" w:rsidR="00A73CA9" w:rsidRPr="00C7582D" w:rsidRDefault="00C7582D" w:rsidP="00794AF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73CA9" w:rsidRPr="00C7582D">
        <w:rPr>
          <w:rFonts w:ascii="Times New Roman" w:hAnsi="Times New Roman" w:cs="Times New Roman"/>
          <w:sz w:val="24"/>
          <w:szCs w:val="24"/>
        </w:rPr>
        <w:t>roup ratio rules are unlikely to be introduced.</w:t>
      </w:r>
    </w:p>
    <w:p w14:paraId="0535E1E7" w14:textId="11C81EC3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7582D">
        <w:rPr>
          <w:rFonts w:ascii="Times New Roman" w:hAnsi="Times New Roman" w:cs="Times New Roman"/>
          <w:b/>
          <w:bCs/>
          <w:sz w:val="24"/>
          <w:szCs w:val="24"/>
        </w:rPr>
        <w:t>hina</w:t>
      </w:r>
    </w:p>
    <w:p w14:paraId="4532FF13" w14:textId="77777777" w:rsidR="00C7582D" w:rsidRDefault="00C7582D" w:rsidP="00794AF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7582D">
        <w:rPr>
          <w:rFonts w:ascii="Times New Roman" w:hAnsi="Times New Roman" w:cs="Times New Roman"/>
          <w:sz w:val="24"/>
          <w:szCs w:val="24"/>
        </w:rPr>
        <w:t>T</w:t>
      </w:r>
      <w:r w:rsidR="00A73CA9" w:rsidRPr="00C7582D">
        <w:rPr>
          <w:rFonts w:ascii="Times New Roman" w:hAnsi="Times New Roman" w:cs="Times New Roman"/>
          <w:sz w:val="24"/>
          <w:szCs w:val="24"/>
        </w:rPr>
        <w:t>hin capitalisation provisions limit interest deductions for related party financing.</w:t>
      </w:r>
    </w:p>
    <w:p w14:paraId="16F6DC4E" w14:textId="77777777" w:rsidR="00C7582D" w:rsidRDefault="00C7582D" w:rsidP="00794AF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3CA9" w:rsidRPr="00C7582D">
        <w:rPr>
          <w:rFonts w:ascii="Times New Roman" w:hAnsi="Times New Roman" w:cs="Times New Roman"/>
          <w:sz w:val="24"/>
          <w:szCs w:val="24"/>
        </w:rPr>
        <w:t>ompliance with and administration of a fixed ratio rule would be more complicated than the existing provisions.</w:t>
      </w:r>
    </w:p>
    <w:p w14:paraId="74A8602E" w14:textId="79EDB083" w:rsidR="00A73CA9" w:rsidRPr="00C7582D" w:rsidRDefault="00C7582D" w:rsidP="00794AF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73CA9" w:rsidRPr="00C7582D">
        <w:rPr>
          <w:rFonts w:ascii="Times New Roman" w:hAnsi="Times New Roman" w:cs="Times New Roman"/>
          <w:sz w:val="24"/>
          <w:szCs w:val="24"/>
        </w:rPr>
        <w:t>he OECD recommendations would extend to third party debt which is not currently the case.</w:t>
      </w:r>
    </w:p>
    <w:p w14:paraId="7A7EA930" w14:textId="7BD7400B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Taiwan</w:t>
      </w:r>
    </w:p>
    <w:p w14:paraId="7D324567" w14:textId="77777777" w:rsidR="00C7582D" w:rsidRDefault="00C7582D" w:rsidP="00794AF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7582D">
        <w:rPr>
          <w:rFonts w:ascii="Times New Roman" w:hAnsi="Times New Roman" w:cs="Times New Roman"/>
          <w:sz w:val="24"/>
          <w:szCs w:val="24"/>
        </w:rPr>
        <w:t>T</w:t>
      </w:r>
      <w:r w:rsidR="00A73CA9" w:rsidRPr="00C7582D">
        <w:rPr>
          <w:rFonts w:ascii="Times New Roman" w:hAnsi="Times New Roman" w:cs="Times New Roman"/>
          <w:sz w:val="24"/>
          <w:szCs w:val="24"/>
        </w:rPr>
        <w:t>hin capitalisation rules have operated since 2015 for both domestic and foreign related party funding.</w:t>
      </w:r>
    </w:p>
    <w:p w14:paraId="18CC554B" w14:textId="77777777" w:rsidR="00C7582D" w:rsidRDefault="00C7582D" w:rsidP="00794AF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73CA9" w:rsidRPr="00C7582D">
        <w:rPr>
          <w:rFonts w:ascii="Times New Roman" w:hAnsi="Times New Roman" w:cs="Times New Roman"/>
          <w:sz w:val="24"/>
          <w:szCs w:val="24"/>
        </w:rPr>
        <w:t xml:space="preserve"> fixed ratio rule would facilitate tax audits.</w:t>
      </w:r>
    </w:p>
    <w:p w14:paraId="0268AB4E" w14:textId="469307F9" w:rsidR="00A73CA9" w:rsidRPr="00C7582D" w:rsidRDefault="00C7582D" w:rsidP="00794AF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73CA9" w:rsidRPr="00C7582D">
        <w:rPr>
          <w:rFonts w:ascii="Times New Roman" w:hAnsi="Times New Roman" w:cs="Times New Roman"/>
          <w:sz w:val="24"/>
          <w:szCs w:val="24"/>
        </w:rPr>
        <w:t xml:space="preserve"> group ratio may be more reasonable than the fixed ratio rule but more complicated to apply.</w:t>
      </w:r>
    </w:p>
    <w:p w14:paraId="04808DD5" w14:textId="717DF261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7582D">
        <w:rPr>
          <w:rFonts w:ascii="Times New Roman" w:hAnsi="Times New Roman" w:cs="Times New Roman"/>
          <w:b/>
          <w:bCs/>
          <w:sz w:val="24"/>
          <w:szCs w:val="24"/>
        </w:rPr>
        <w:t>ingapore</w:t>
      </w:r>
    </w:p>
    <w:p w14:paraId="56F88BB2" w14:textId="77777777" w:rsidR="00ED6762" w:rsidRDefault="00ED6762" w:rsidP="00794AF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I</w:t>
      </w:r>
      <w:r w:rsidR="00A73CA9" w:rsidRPr="00ED6762">
        <w:rPr>
          <w:rFonts w:ascii="Times New Roman" w:hAnsi="Times New Roman" w:cs="Times New Roman"/>
          <w:sz w:val="24"/>
          <w:szCs w:val="24"/>
        </w:rPr>
        <w:t>nterest is only deductible to the extent it funds domestic sourced income or assets to produce such income.</w:t>
      </w:r>
    </w:p>
    <w:p w14:paraId="3B00B84F" w14:textId="77777777" w:rsidR="00ED6762" w:rsidRDefault="00ED6762" w:rsidP="00794AF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73CA9" w:rsidRPr="00ED6762">
        <w:rPr>
          <w:rFonts w:ascii="Times New Roman" w:hAnsi="Times New Roman" w:cs="Times New Roman"/>
          <w:sz w:val="24"/>
          <w:szCs w:val="24"/>
        </w:rPr>
        <w:t xml:space="preserve"> fixed ratio rule would be less ambiguous and simpler to apply.</w:t>
      </w:r>
    </w:p>
    <w:p w14:paraId="5ED08D9B" w14:textId="77777777" w:rsidR="00ED6762" w:rsidRDefault="00ED6762" w:rsidP="00794AF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73CA9" w:rsidRPr="00ED6762">
        <w:rPr>
          <w:rFonts w:ascii="Times New Roman" w:hAnsi="Times New Roman" w:cs="Times New Roman"/>
          <w:sz w:val="24"/>
          <w:szCs w:val="24"/>
        </w:rPr>
        <w:t>group ratio rule would be appropriate as a back up to a fixed ratio rule. It would be more complicated to administer.</w:t>
      </w:r>
    </w:p>
    <w:p w14:paraId="081F197F" w14:textId="77777777" w:rsidR="00ED6762" w:rsidRDefault="00ED6762" w:rsidP="00794AF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73CA9" w:rsidRPr="00ED6762">
        <w:rPr>
          <w:rFonts w:ascii="Times New Roman" w:hAnsi="Times New Roman" w:cs="Times New Roman"/>
          <w:sz w:val="24"/>
          <w:szCs w:val="24"/>
        </w:rPr>
        <w:t xml:space="preserve">nterest deduction limitations should not unjustly penalise MNCs that manage their global operations from Singapore. </w:t>
      </w:r>
    </w:p>
    <w:p w14:paraId="0A74B28D" w14:textId="211CDF21" w:rsidR="00A73CA9" w:rsidRPr="00ED6762" w:rsidRDefault="00ED6762" w:rsidP="00794AF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73CA9" w:rsidRPr="00ED6762">
        <w:rPr>
          <w:rFonts w:ascii="Times New Roman" w:hAnsi="Times New Roman" w:cs="Times New Roman"/>
          <w:sz w:val="24"/>
          <w:szCs w:val="24"/>
        </w:rPr>
        <w:t>de minimis level should be consistently applied across all countries.</w:t>
      </w:r>
    </w:p>
    <w:p w14:paraId="39F28751" w14:textId="0C4ED11B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ED6762">
        <w:rPr>
          <w:rFonts w:ascii="Times New Roman" w:hAnsi="Times New Roman" w:cs="Times New Roman"/>
          <w:b/>
          <w:bCs/>
          <w:sz w:val="24"/>
          <w:szCs w:val="24"/>
        </w:rPr>
        <w:t>apan</w:t>
      </w:r>
    </w:p>
    <w:p w14:paraId="0DD409A4" w14:textId="77777777" w:rsidR="00ED6762" w:rsidRDefault="00ED6762" w:rsidP="00794AF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T</w:t>
      </w:r>
      <w:r w:rsidR="00A73CA9" w:rsidRPr="00ED6762">
        <w:rPr>
          <w:rFonts w:ascii="Times New Roman" w:hAnsi="Times New Roman" w:cs="Times New Roman"/>
          <w:sz w:val="24"/>
          <w:szCs w:val="24"/>
        </w:rPr>
        <w:t>hin capitalisation rules apply together with anti-avoidance rules which limit interest deductions disproportionate to income (this is a form of fixed ratio rule).</w:t>
      </w:r>
    </w:p>
    <w:p w14:paraId="7FE623EF" w14:textId="77777777" w:rsidR="00ED6762" w:rsidRDefault="00ED6762" w:rsidP="00794AF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73CA9" w:rsidRPr="00ED6762">
        <w:rPr>
          <w:rFonts w:ascii="Times New Roman" w:hAnsi="Times New Roman" w:cs="Times New Roman"/>
          <w:sz w:val="24"/>
          <w:szCs w:val="24"/>
        </w:rPr>
        <w:t>fixed ratio rule provides certainty for taxpayers.</w:t>
      </w:r>
    </w:p>
    <w:p w14:paraId="0D852A4C" w14:textId="77777777" w:rsidR="00ED6762" w:rsidRDefault="00ED6762" w:rsidP="00794AF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73CA9" w:rsidRPr="00ED6762">
        <w:rPr>
          <w:rFonts w:ascii="Times New Roman" w:hAnsi="Times New Roman" w:cs="Times New Roman"/>
          <w:sz w:val="24"/>
          <w:szCs w:val="24"/>
        </w:rPr>
        <w:t xml:space="preserve">group ratio rule is </w:t>
      </w:r>
      <w:r>
        <w:rPr>
          <w:rFonts w:ascii="Times New Roman" w:hAnsi="Times New Roman" w:cs="Times New Roman"/>
          <w:sz w:val="24"/>
          <w:szCs w:val="24"/>
        </w:rPr>
        <w:t>more complicated to administer.</w:t>
      </w:r>
    </w:p>
    <w:p w14:paraId="2E83A2D5" w14:textId="096BBAE8" w:rsidR="00A73CA9" w:rsidRPr="00ED6762" w:rsidRDefault="00ED6762" w:rsidP="00794AF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73CA9" w:rsidRPr="00ED6762">
        <w:rPr>
          <w:rFonts w:ascii="Times New Roman" w:hAnsi="Times New Roman" w:cs="Times New Roman"/>
          <w:sz w:val="24"/>
          <w:szCs w:val="24"/>
        </w:rPr>
        <w:t>here is currently a de minimis provision exempting net interest payments of up to 10 million JPY to related parties.</w:t>
      </w:r>
    </w:p>
    <w:p w14:paraId="0B0A9388" w14:textId="0EE588D8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General Regional Observations</w:t>
      </w:r>
    </w:p>
    <w:p w14:paraId="2735EC16" w14:textId="77777777" w:rsidR="00ED6762" w:rsidRDefault="00ED6762" w:rsidP="00794AF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Thin</w:t>
      </w:r>
      <w:r w:rsidR="00A73CA9" w:rsidRPr="00ED6762">
        <w:rPr>
          <w:rFonts w:ascii="Times New Roman" w:hAnsi="Times New Roman" w:cs="Times New Roman"/>
          <w:sz w:val="24"/>
          <w:szCs w:val="24"/>
        </w:rPr>
        <w:t xml:space="preserve"> capitalisation rules with ‘safe harbour’ features are found in those countries which tax world-wide income.</w:t>
      </w:r>
    </w:p>
    <w:p w14:paraId="67B6D64B" w14:textId="77777777" w:rsidR="00ED6762" w:rsidRDefault="00ED6762" w:rsidP="00794AF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73CA9" w:rsidRPr="00ED6762">
        <w:rPr>
          <w:rFonts w:ascii="Times New Roman" w:hAnsi="Times New Roman" w:cs="Times New Roman"/>
          <w:sz w:val="24"/>
          <w:szCs w:val="24"/>
        </w:rPr>
        <w:t>hose countries which tax domestic income only have rules which limit interest deductions to the production of domestic income.</w:t>
      </w:r>
    </w:p>
    <w:p w14:paraId="29DBBE19" w14:textId="77777777" w:rsidR="00ED6762" w:rsidRDefault="00ED6762" w:rsidP="00794AF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73CA9" w:rsidRPr="00ED6762">
        <w:rPr>
          <w:rFonts w:ascii="Times New Roman" w:hAnsi="Times New Roman" w:cs="Times New Roman"/>
          <w:sz w:val="24"/>
          <w:szCs w:val="24"/>
        </w:rPr>
        <w:t>ixed ratio rules are regarded as simpler to implement and to provide greater certainty for taxpayers than group ratio rules.</w:t>
      </w:r>
    </w:p>
    <w:p w14:paraId="34DDB672" w14:textId="64EC7331" w:rsidR="00A73CA9" w:rsidRDefault="00ED6762" w:rsidP="00794AF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73CA9" w:rsidRPr="00ED6762">
        <w:rPr>
          <w:rFonts w:ascii="Times New Roman" w:hAnsi="Times New Roman" w:cs="Times New Roman"/>
          <w:sz w:val="24"/>
          <w:szCs w:val="24"/>
        </w:rPr>
        <w:t>he difficulty of obtaining relevant and timely financial information is seen as an impediment to implementing group ratio rules.</w:t>
      </w:r>
    </w:p>
    <w:p w14:paraId="5E0C0D2B" w14:textId="77777777" w:rsidR="00ED6762" w:rsidRPr="00ED6762" w:rsidRDefault="00ED6762" w:rsidP="00ED67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6424FE" w14:textId="34B14896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676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</w:t>
      </w:r>
      <w:r w:rsidR="00ED6762" w:rsidRPr="00ED676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ction 5: </w:t>
      </w:r>
      <w:r w:rsidRPr="00ED676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Countering harmful tax practic</w:t>
      </w:r>
      <w:r w:rsidR="00ED6762" w:rsidRPr="00ED676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es</w:t>
      </w:r>
    </w:p>
    <w:p w14:paraId="1FEC1E2F" w14:textId="499CFCB6" w:rsidR="00A73CA9" w:rsidRPr="00A73CA9" w:rsidRDefault="00ED6762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Malaysia</w:t>
      </w:r>
    </w:p>
    <w:p w14:paraId="1AB771D6" w14:textId="77777777" w:rsidR="00ED6762" w:rsidRDefault="00ED6762" w:rsidP="00794AF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T</w:t>
      </w:r>
      <w:r w:rsidR="00A73CA9" w:rsidRPr="00ED6762">
        <w:rPr>
          <w:rFonts w:ascii="Times New Roman" w:hAnsi="Times New Roman" w:cs="Times New Roman"/>
          <w:sz w:val="24"/>
          <w:szCs w:val="24"/>
        </w:rPr>
        <w:t>he application of a substantial activities requirement and spontaneous exchange of information may have relevance to Labuan transactions.</w:t>
      </w:r>
    </w:p>
    <w:p w14:paraId="288C20F3" w14:textId="77777777" w:rsidR="00ED6762" w:rsidRDefault="00ED6762" w:rsidP="00794AF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3CA9" w:rsidRPr="00A73CA9">
        <w:rPr>
          <w:rFonts w:ascii="Times New Roman" w:hAnsi="Times New Roman" w:cs="Times New Roman"/>
          <w:sz w:val="24"/>
          <w:szCs w:val="24"/>
        </w:rPr>
        <w:t>onfidentiality requirements would need to be addressed apart from current EIAs in existing DTAs.</w:t>
      </w:r>
    </w:p>
    <w:p w14:paraId="2A85B427" w14:textId="198B1E99" w:rsidR="00791A0A" w:rsidRPr="00ED6762" w:rsidRDefault="00ED6762" w:rsidP="00794AF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N</w:t>
      </w:r>
      <w:r w:rsidR="00A73CA9" w:rsidRPr="00ED6762">
        <w:rPr>
          <w:rFonts w:ascii="Times New Roman" w:hAnsi="Times New Roman" w:cs="Times New Roman"/>
          <w:sz w:val="24"/>
          <w:szCs w:val="24"/>
        </w:rPr>
        <w:t>o current suggestion that the OECD recommendations will be introduced.</w:t>
      </w:r>
    </w:p>
    <w:p w14:paraId="59215DCF" w14:textId="58549A45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ED6762">
        <w:rPr>
          <w:rFonts w:ascii="Times New Roman" w:hAnsi="Times New Roman" w:cs="Times New Roman"/>
          <w:b/>
          <w:bCs/>
          <w:sz w:val="24"/>
          <w:szCs w:val="24"/>
        </w:rPr>
        <w:t>ong Kong</w:t>
      </w:r>
    </w:p>
    <w:p w14:paraId="2D3ED406" w14:textId="77777777" w:rsidR="00ED6762" w:rsidRDefault="00ED6762" w:rsidP="00794AF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N</w:t>
      </w:r>
      <w:r w:rsidR="00A73CA9" w:rsidRPr="00ED6762">
        <w:rPr>
          <w:rFonts w:ascii="Times New Roman" w:hAnsi="Times New Roman" w:cs="Times New Roman"/>
          <w:sz w:val="24"/>
          <w:szCs w:val="24"/>
        </w:rPr>
        <w:t>o harmful preferential tax regimes.</w:t>
      </w:r>
    </w:p>
    <w:p w14:paraId="79DD2706" w14:textId="77777777" w:rsidR="00ED6762" w:rsidRDefault="00ED6762" w:rsidP="00794AF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3CA9" w:rsidRPr="00ED6762">
        <w:rPr>
          <w:rFonts w:ascii="Times New Roman" w:hAnsi="Times New Roman" w:cs="Times New Roman"/>
          <w:sz w:val="24"/>
          <w:szCs w:val="24"/>
        </w:rPr>
        <w:t>urrent policy is not to provide spontaneous exchange of information. This may change if it becomes an international standard.</w:t>
      </w:r>
    </w:p>
    <w:p w14:paraId="4CB37C63" w14:textId="29E8AC67" w:rsidR="00A73CA9" w:rsidRPr="00ED6762" w:rsidRDefault="00ED6762" w:rsidP="00794AF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73CA9" w:rsidRPr="00ED6762">
        <w:rPr>
          <w:rFonts w:ascii="Times New Roman" w:hAnsi="Times New Roman" w:cs="Times New Roman"/>
          <w:sz w:val="24"/>
          <w:szCs w:val="24"/>
        </w:rPr>
        <w:t>ecently introduced bill for a reduced corporate tax rate for corporate treasury centres requires substantial activities in Hong Kong.</w:t>
      </w:r>
    </w:p>
    <w:p w14:paraId="1CB7BA3C" w14:textId="0A30F310" w:rsidR="00A73CA9" w:rsidRPr="00A73CA9" w:rsidRDefault="00A73CA9" w:rsidP="00A73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C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6762">
        <w:rPr>
          <w:rFonts w:ascii="Times New Roman" w:hAnsi="Times New Roman" w:cs="Times New Roman"/>
          <w:b/>
          <w:bCs/>
          <w:sz w:val="24"/>
          <w:szCs w:val="24"/>
        </w:rPr>
        <w:t>ustralia</w:t>
      </w:r>
    </w:p>
    <w:p w14:paraId="20A967EA" w14:textId="333E4ADC" w:rsidR="00A73CA9" w:rsidRPr="00ED6762" w:rsidRDefault="00ED6762" w:rsidP="00794AF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No</w:t>
      </w:r>
      <w:r w:rsidR="00A73CA9" w:rsidRPr="00ED6762">
        <w:rPr>
          <w:rFonts w:ascii="Times New Roman" w:hAnsi="Times New Roman" w:cs="Times New Roman"/>
          <w:sz w:val="24"/>
          <w:szCs w:val="24"/>
        </w:rPr>
        <w:t xml:space="preserve"> harmful preferential tax regimes.</w:t>
      </w:r>
    </w:p>
    <w:p w14:paraId="1E04425E" w14:textId="56253C3C" w:rsidR="00A73CA9" w:rsidRPr="00791A0A" w:rsidRDefault="00A73CA9" w:rsidP="00A73CA9">
      <w:pPr>
        <w:rPr>
          <w:rFonts w:ascii="Times New Roman" w:hAnsi="Times New Roman" w:cs="Times New Roman"/>
          <w:b/>
          <w:sz w:val="24"/>
          <w:szCs w:val="24"/>
        </w:rPr>
      </w:pPr>
      <w:r w:rsidRPr="00791A0A">
        <w:rPr>
          <w:rFonts w:ascii="Times New Roman" w:hAnsi="Times New Roman" w:cs="Times New Roman"/>
          <w:b/>
          <w:sz w:val="24"/>
          <w:szCs w:val="24"/>
        </w:rPr>
        <w:t>C</w:t>
      </w:r>
      <w:r w:rsidR="00ED6762">
        <w:rPr>
          <w:rFonts w:ascii="Times New Roman" w:hAnsi="Times New Roman" w:cs="Times New Roman"/>
          <w:b/>
          <w:sz w:val="24"/>
          <w:szCs w:val="24"/>
        </w:rPr>
        <w:t>hina</w:t>
      </w:r>
    </w:p>
    <w:p w14:paraId="46004D46" w14:textId="77777777" w:rsidR="00ED6762" w:rsidRDefault="00ED6762" w:rsidP="00794AF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N</w:t>
      </w:r>
      <w:r w:rsidR="00A73CA9" w:rsidRPr="00ED6762">
        <w:rPr>
          <w:rFonts w:ascii="Times New Roman" w:hAnsi="Times New Roman" w:cs="Times New Roman"/>
          <w:sz w:val="24"/>
          <w:szCs w:val="24"/>
        </w:rPr>
        <w:t>o harmful preferential tax regimes.</w:t>
      </w:r>
    </w:p>
    <w:p w14:paraId="775457B9" w14:textId="72F27DDA" w:rsidR="00791A0A" w:rsidRPr="00ED6762" w:rsidRDefault="00ED6762" w:rsidP="00794AF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91A0A" w:rsidRPr="00ED6762">
        <w:rPr>
          <w:rFonts w:ascii="Times New Roman" w:hAnsi="Times New Roman" w:cs="Times New Roman"/>
          <w:sz w:val="24"/>
          <w:szCs w:val="24"/>
        </w:rPr>
        <w:t>No. 5 Action Plan requires taxation results to be matched with the economic substance and substantial activities.</w:t>
      </w:r>
    </w:p>
    <w:p w14:paraId="2CA0F78B" w14:textId="3E397E38" w:rsidR="00791A0A" w:rsidRPr="00EB0DE1" w:rsidRDefault="00EB0DE1" w:rsidP="00A73CA9">
      <w:pPr>
        <w:rPr>
          <w:rFonts w:ascii="Times New Roman" w:hAnsi="Times New Roman" w:cs="Times New Roman"/>
          <w:b/>
          <w:sz w:val="24"/>
          <w:szCs w:val="24"/>
        </w:rPr>
      </w:pPr>
      <w:r w:rsidRPr="00EB0DE1">
        <w:rPr>
          <w:rFonts w:ascii="Times New Roman" w:hAnsi="Times New Roman" w:cs="Times New Roman"/>
          <w:b/>
          <w:sz w:val="24"/>
          <w:szCs w:val="24"/>
        </w:rPr>
        <w:t>T</w:t>
      </w:r>
      <w:r w:rsidR="00ED6762">
        <w:rPr>
          <w:rFonts w:ascii="Times New Roman" w:hAnsi="Times New Roman" w:cs="Times New Roman"/>
          <w:b/>
          <w:sz w:val="24"/>
          <w:szCs w:val="24"/>
        </w:rPr>
        <w:t>aiwan</w:t>
      </w:r>
    </w:p>
    <w:p w14:paraId="1C46D653" w14:textId="38C409B3" w:rsidR="00EB0DE1" w:rsidRDefault="00EB0DE1" w:rsidP="00A73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ED6762">
        <w:rPr>
          <w:rFonts w:ascii="Times New Roman" w:hAnsi="Times New Roman" w:cs="Times New Roman"/>
          <w:sz w:val="24"/>
          <w:szCs w:val="24"/>
          <w:highlight w:val="yellow"/>
        </w:rPr>
        <w:t>INSERT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CA24AB8" w14:textId="3657385D" w:rsidR="00EB0DE1" w:rsidRPr="00EB0DE1" w:rsidRDefault="00ED6762" w:rsidP="00A73C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Singapore</w:t>
      </w:r>
      <w:r w:rsidR="00EB0DE1" w:rsidRPr="00EB0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DE1" w:rsidRPr="00EB0DE1">
        <w:rPr>
          <w:rFonts w:ascii="Times New Roman" w:hAnsi="Times New Roman" w:cs="Times New Roman"/>
          <w:b/>
          <w:sz w:val="24"/>
          <w:szCs w:val="24"/>
        </w:rPr>
        <w:tab/>
      </w:r>
    </w:p>
    <w:p w14:paraId="03A36718" w14:textId="77777777" w:rsidR="00ED6762" w:rsidRDefault="00EB0DE1" w:rsidP="00794AF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Singapore is reviewing its tax incentives in the context of this Action item.</w:t>
      </w:r>
    </w:p>
    <w:p w14:paraId="0D1D0F22" w14:textId="77777777" w:rsidR="00ED6762" w:rsidRDefault="00ED6762" w:rsidP="00794AF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B0DE1" w:rsidRPr="00ED6762">
        <w:rPr>
          <w:rFonts w:ascii="Times New Roman" w:hAnsi="Times New Roman" w:cs="Times New Roman"/>
          <w:sz w:val="24"/>
          <w:szCs w:val="24"/>
        </w:rPr>
        <w:t>he tax incentives require substantial activity to be carried out in Singapore.</w:t>
      </w:r>
    </w:p>
    <w:p w14:paraId="2CC6D3EB" w14:textId="6A7078EB" w:rsidR="00EB0DE1" w:rsidRPr="00ED6762" w:rsidRDefault="00ED6762" w:rsidP="00794AF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B0DE1" w:rsidRPr="00ED6762">
        <w:rPr>
          <w:rFonts w:ascii="Times New Roman" w:hAnsi="Times New Roman" w:cs="Times New Roman"/>
          <w:sz w:val="24"/>
          <w:szCs w:val="24"/>
        </w:rPr>
        <w:t xml:space="preserve">ommitted to introducing automatic exchange of information from 2018. </w:t>
      </w:r>
    </w:p>
    <w:p w14:paraId="5E5B5271" w14:textId="05D66FE6" w:rsidR="00EB0DE1" w:rsidRPr="00EB0DE1" w:rsidRDefault="00ED6762" w:rsidP="00A73C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Japan</w:t>
      </w:r>
    </w:p>
    <w:p w14:paraId="6B93383E" w14:textId="77777777" w:rsidR="00ED6762" w:rsidRDefault="00ED6762" w:rsidP="00794AF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T</w:t>
      </w:r>
      <w:r w:rsidR="00EB0DE1" w:rsidRPr="00ED6762">
        <w:rPr>
          <w:rFonts w:ascii="Times New Roman" w:hAnsi="Times New Roman" w:cs="Times New Roman"/>
          <w:sz w:val="24"/>
          <w:szCs w:val="24"/>
        </w:rPr>
        <w:t>ax sparing credits may satisfy the definition of harmful tax practices and the Government is committed to reducing their effect.</w:t>
      </w:r>
    </w:p>
    <w:p w14:paraId="3CD4C717" w14:textId="77777777" w:rsidR="00ED6762" w:rsidRDefault="00ED6762" w:rsidP="00794AF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B0DE1" w:rsidRPr="00ED6762">
        <w:rPr>
          <w:rFonts w:ascii="Times New Roman" w:hAnsi="Times New Roman" w:cs="Times New Roman"/>
          <w:sz w:val="24"/>
          <w:szCs w:val="24"/>
        </w:rPr>
        <w:t>he substantial activities regime would curtail the effect of tax preferences.</w:t>
      </w:r>
    </w:p>
    <w:p w14:paraId="167C4355" w14:textId="1430432E" w:rsidR="00EB0DE1" w:rsidRPr="00ED6762" w:rsidRDefault="00ED6762" w:rsidP="00794AF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E6C94" w:rsidRPr="00ED6762">
        <w:rPr>
          <w:rFonts w:ascii="Times New Roman" w:hAnsi="Times New Roman" w:cs="Times New Roman"/>
          <w:sz w:val="24"/>
          <w:szCs w:val="24"/>
        </w:rPr>
        <w:t>utomatic</w:t>
      </w:r>
      <w:r w:rsidR="00EB0DE1" w:rsidRPr="00ED6762">
        <w:rPr>
          <w:rFonts w:ascii="Times New Roman" w:hAnsi="Times New Roman" w:cs="Times New Roman"/>
          <w:sz w:val="24"/>
          <w:szCs w:val="24"/>
        </w:rPr>
        <w:t xml:space="preserve"> exchange of information systems are already in place in bilateral treaties.</w:t>
      </w:r>
    </w:p>
    <w:p w14:paraId="346CE95E" w14:textId="5EAB828B" w:rsidR="007E6C94" w:rsidRPr="00ED6762" w:rsidRDefault="00ED6762" w:rsidP="00A73CA9">
      <w:pPr>
        <w:rPr>
          <w:rFonts w:ascii="Times New Roman" w:hAnsi="Times New Roman" w:cs="Times New Roman"/>
          <w:b/>
          <w:sz w:val="24"/>
          <w:szCs w:val="24"/>
        </w:rPr>
      </w:pPr>
      <w:r w:rsidRPr="00ED6762">
        <w:rPr>
          <w:rFonts w:ascii="Times New Roman" w:hAnsi="Times New Roman" w:cs="Times New Roman"/>
          <w:b/>
          <w:sz w:val="24"/>
          <w:szCs w:val="24"/>
        </w:rPr>
        <w:t>General Regional Observations</w:t>
      </w:r>
    </w:p>
    <w:p w14:paraId="23C58C76" w14:textId="77777777" w:rsidR="00ED6762" w:rsidRDefault="00ED6762" w:rsidP="00794AF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T</w:t>
      </w:r>
      <w:r w:rsidR="00801EE1" w:rsidRPr="00ED6762">
        <w:rPr>
          <w:rFonts w:ascii="Times New Roman" w:hAnsi="Times New Roman" w:cs="Times New Roman"/>
          <w:sz w:val="24"/>
          <w:szCs w:val="24"/>
        </w:rPr>
        <w:t>here is a general perspective that the regions tax systems do not contain ha</w:t>
      </w:r>
      <w:r>
        <w:rPr>
          <w:rFonts w:ascii="Times New Roman" w:hAnsi="Times New Roman" w:cs="Times New Roman"/>
          <w:sz w:val="24"/>
          <w:szCs w:val="24"/>
        </w:rPr>
        <w:t>rmful preferential tax regimes.</w:t>
      </w:r>
    </w:p>
    <w:p w14:paraId="772C7329" w14:textId="77777777" w:rsidR="00ED6762" w:rsidRDefault="00ED6762" w:rsidP="00794AF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01EE1" w:rsidRPr="00ED6762">
        <w:rPr>
          <w:rFonts w:ascii="Times New Roman" w:hAnsi="Times New Roman" w:cs="Times New Roman"/>
          <w:sz w:val="24"/>
          <w:szCs w:val="24"/>
        </w:rPr>
        <w:t>verall there is a move towards introducing a substantial activities requirement.</w:t>
      </w:r>
    </w:p>
    <w:p w14:paraId="5CFD5412" w14:textId="7AB64B14" w:rsidR="007E6C94" w:rsidRDefault="00ED6762" w:rsidP="00794AF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01EE1" w:rsidRPr="00ED6762">
        <w:rPr>
          <w:rFonts w:ascii="Times New Roman" w:hAnsi="Times New Roman" w:cs="Times New Roman"/>
          <w:sz w:val="24"/>
          <w:szCs w:val="24"/>
        </w:rPr>
        <w:t xml:space="preserve"> few countries only (Japan and Singapore) have or are committed to spontaneous exchange of information.</w:t>
      </w:r>
    </w:p>
    <w:p w14:paraId="3E6B310E" w14:textId="77777777" w:rsidR="00ED6762" w:rsidRPr="00ED6762" w:rsidRDefault="00ED6762" w:rsidP="00ED67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7B160C" w14:textId="140FD60D" w:rsidR="00EB0DE1" w:rsidRPr="00EB0DE1" w:rsidRDefault="00EB0DE1" w:rsidP="00A73CA9">
      <w:pPr>
        <w:rPr>
          <w:rFonts w:ascii="Times New Roman" w:hAnsi="Times New Roman" w:cs="Times New Roman"/>
          <w:b/>
          <w:sz w:val="24"/>
          <w:szCs w:val="24"/>
        </w:rPr>
      </w:pPr>
      <w:r w:rsidRPr="00ED6762">
        <w:rPr>
          <w:rFonts w:ascii="Times New Roman" w:hAnsi="Times New Roman" w:cs="Times New Roman"/>
          <w:b/>
          <w:sz w:val="24"/>
          <w:szCs w:val="24"/>
          <w:highlight w:val="lightGray"/>
        </w:rPr>
        <w:t>A</w:t>
      </w:r>
      <w:r w:rsidR="00ED6762" w:rsidRPr="00ED6762">
        <w:rPr>
          <w:rFonts w:ascii="Times New Roman" w:hAnsi="Times New Roman" w:cs="Times New Roman"/>
          <w:b/>
          <w:sz w:val="24"/>
          <w:szCs w:val="24"/>
          <w:highlight w:val="lightGray"/>
        </w:rPr>
        <w:t>ction 6:</w:t>
      </w:r>
      <w:r w:rsidRPr="00ED676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Granting treaty benefits</w:t>
      </w:r>
      <w:r w:rsidR="00ED6762" w:rsidRPr="00ED676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in inappropriate circumstances</w:t>
      </w:r>
    </w:p>
    <w:p w14:paraId="0C7891CE" w14:textId="547C9CFE" w:rsidR="00EB0DE1" w:rsidRPr="007E6C94" w:rsidRDefault="00ED6762" w:rsidP="00005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Malaysia</w:t>
      </w:r>
    </w:p>
    <w:p w14:paraId="59577BF5" w14:textId="77777777" w:rsidR="00ED6762" w:rsidRDefault="00ED6762" w:rsidP="00794AF7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N</w:t>
      </w:r>
      <w:r w:rsidR="007E6C94" w:rsidRPr="00ED6762">
        <w:rPr>
          <w:rFonts w:ascii="Times New Roman" w:hAnsi="Times New Roman" w:cs="Times New Roman"/>
          <w:sz w:val="24"/>
          <w:szCs w:val="24"/>
        </w:rPr>
        <w:t>o specific antitreaty shopping provision and the general anti-avoidance provision may apply.</w:t>
      </w:r>
    </w:p>
    <w:p w14:paraId="0C7685AC" w14:textId="3CA87803" w:rsidR="007E6C94" w:rsidRPr="00ED6762" w:rsidRDefault="00ED6762" w:rsidP="00794AF7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T</w:t>
      </w:r>
      <w:r w:rsidR="007E6C94" w:rsidRPr="00ED6762">
        <w:rPr>
          <w:rFonts w:ascii="Times New Roman" w:hAnsi="Times New Roman" w:cs="Times New Roman"/>
          <w:sz w:val="24"/>
          <w:szCs w:val="24"/>
        </w:rPr>
        <w:t>here is a PPT requirement in a limited number of treaties but limited to interest.</w:t>
      </w:r>
      <w:r w:rsidR="00794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5CAEE" w14:textId="31ECCC12" w:rsidR="007E6C94" w:rsidRPr="00E02C05" w:rsidRDefault="007E6C94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E02C05">
        <w:rPr>
          <w:rFonts w:ascii="Times New Roman" w:hAnsi="Times New Roman" w:cs="Times New Roman"/>
          <w:b/>
          <w:sz w:val="24"/>
          <w:szCs w:val="24"/>
        </w:rPr>
        <w:t>H</w:t>
      </w:r>
      <w:r w:rsidR="00ED6762">
        <w:rPr>
          <w:rFonts w:ascii="Times New Roman" w:hAnsi="Times New Roman" w:cs="Times New Roman"/>
          <w:b/>
          <w:sz w:val="24"/>
          <w:szCs w:val="24"/>
        </w:rPr>
        <w:t>ong Kong</w:t>
      </w:r>
    </w:p>
    <w:p w14:paraId="2E89D5A5" w14:textId="77777777" w:rsidR="00ED6762" w:rsidRDefault="00ED6762" w:rsidP="00794AF7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T</w:t>
      </w:r>
      <w:r w:rsidR="00E02C05" w:rsidRPr="00ED6762">
        <w:rPr>
          <w:rFonts w:ascii="Times New Roman" w:hAnsi="Times New Roman" w:cs="Times New Roman"/>
          <w:sz w:val="24"/>
          <w:szCs w:val="24"/>
        </w:rPr>
        <w:t>he general anti-avoidance provision would apply to treaty abuse.</w:t>
      </w:r>
    </w:p>
    <w:p w14:paraId="111C8809" w14:textId="77777777" w:rsidR="00ED6762" w:rsidRDefault="00ED6762" w:rsidP="00794AF7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02C05" w:rsidRPr="00ED6762">
        <w:rPr>
          <w:rFonts w:ascii="Times New Roman" w:hAnsi="Times New Roman" w:cs="Times New Roman"/>
          <w:sz w:val="24"/>
          <w:szCs w:val="24"/>
        </w:rPr>
        <w:t>ome current treaties contain measures similar to PPT. Other treaties contain measures targeted at conduits or back-to-back arrangements.</w:t>
      </w:r>
    </w:p>
    <w:p w14:paraId="31545622" w14:textId="146F6904" w:rsidR="00E02C05" w:rsidRPr="00ED6762" w:rsidRDefault="00E02C05" w:rsidP="00794AF7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PPT is subjective and may create uncertainty for taxpayers. LOB is complicated.</w:t>
      </w:r>
    </w:p>
    <w:p w14:paraId="7A018A56" w14:textId="4755B204" w:rsidR="00A73CA9" w:rsidRPr="00E02C05" w:rsidRDefault="00ED6762" w:rsidP="00005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Australia</w:t>
      </w:r>
    </w:p>
    <w:p w14:paraId="69DFE8CF" w14:textId="77777777" w:rsidR="00ED6762" w:rsidRPr="00ED6762" w:rsidRDefault="00ED6762" w:rsidP="00794AF7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T</w:t>
      </w:r>
      <w:r w:rsidR="00E02C05" w:rsidRPr="00ED6762">
        <w:rPr>
          <w:rFonts w:ascii="Times New Roman" w:hAnsi="Times New Roman" w:cs="Times New Roman"/>
          <w:sz w:val="24"/>
          <w:szCs w:val="24"/>
        </w:rPr>
        <w:t>he general anti-avoidance provision may combat treaty abuse.</w:t>
      </w:r>
    </w:p>
    <w:p w14:paraId="21A2855C" w14:textId="75CAA568" w:rsidR="00E02C05" w:rsidRPr="00ED6762" w:rsidRDefault="00ED6762" w:rsidP="00794AF7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A</w:t>
      </w:r>
      <w:r w:rsidR="00E02C05" w:rsidRPr="00ED6762">
        <w:rPr>
          <w:rFonts w:ascii="Times New Roman" w:hAnsi="Times New Roman" w:cs="Times New Roman"/>
          <w:sz w:val="24"/>
          <w:szCs w:val="24"/>
        </w:rPr>
        <w:t>nti-abuse provisions will be subject to negotiation in new treaties.</w:t>
      </w:r>
    </w:p>
    <w:p w14:paraId="70E19984" w14:textId="1B8B10DD" w:rsidR="00E02C05" w:rsidRPr="00ED6762" w:rsidRDefault="00ED6762" w:rsidP="00794AF7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 xml:space="preserve">A </w:t>
      </w:r>
      <w:r w:rsidR="00E02C05" w:rsidRPr="00ED6762">
        <w:rPr>
          <w:rFonts w:ascii="Times New Roman" w:hAnsi="Times New Roman" w:cs="Times New Roman"/>
          <w:sz w:val="24"/>
          <w:szCs w:val="24"/>
        </w:rPr>
        <w:t>PPT may work in Australia.</w:t>
      </w:r>
    </w:p>
    <w:p w14:paraId="43092B48" w14:textId="784BBCF1" w:rsidR="00E02C05" w:rsidRPr="00801EE1" w:rsidRDefault="00E02C05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801EE1">
        <w:rPr>
          <w:rFonts w:ascii="Times New Roman" w:hAnsi="Times New Roman" w:cs="Times New Roman"/>
          <w:b/>
          <w:sz w:val="24"/>
          <w:szCs w:val="24"/>
        </w:rPr>
        <w:t>C</w:t>
      </w:r>
      <w:r w:rsidR="00ED6762">
        <w:rPr>
          <w:rFonts w:ascii="Times New Roman" w:hAnsi="Times New Roman" w:cs="Times New Roman"/>
          <w:b/>
          <w:sz w:val="24"/>
          <w:szCs w:val="24"/>
        </w:rPr>
        <w:t>hina</w:t>
      </w:r>
    </w:p>
    <w:p w14:paraId="0A456FED" w14:textId="77777777" w:rsidR="00ED6762" w:rsidRDefault="00ED6762" w:rsidP="00794AF7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 xml:space="preserve">The </w:t>
      </w:r>
      <w:r w:rsidR="00E02C05" w:rsidRPr="00ED6762">
        <w:rPr>
          <w:rFonts w:ascii="Times New Roman" w:hAnsi="Times New Roman" w:cs="Times New Roman"/>
          <w:sz w:val="24"/>
          <w:szCs w:val="24"/>
        </w:rPr>
        <w:t>general anti-avoidance provision may apply. There is also a beneficial ownership requirement.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B960B" w14:textId="77777777" w:rsidR="00ED6762" w:rsidRDefault="00ED6762" w:rsidP="00794AF7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02C05">
        <w:rPr>
          <w:rFonts w:ascii="Times New Roman" w:hAnsi="Times New Roman" w:cs="Times New Roman"/>
          <w:sz w:val="24"/>
          <w:szCs w:val="24"/>
        </w:rPr>
        <w:t>ome recently updated treaties have anti-abuse provisions. The UK treaty has a PPT.</w:t>
      </w:r>
    </w:p>
    <w:p w14:paraId="7E5A9DB3" w14:textId="51AC67B8" w:rsidR="00801EE1" w:rsidRPr="00ED6762" w:rsidRDefault="00801EE1" w:rsidP="00794AF7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LOB is regarded as complicated.</w:t>
      </w:r>
    </w:p>
    <w:p w14:paraId="7560C9F2" w14:textId="1D020BE3" w:rsidR="00801EE1" w:rsidRPr="00801EE1" w:rsidRDefault="00801EE1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801EE1">
        <w:rPr>
          <w:rFonts w:ascii="Times New Roman" w:hAnsi="Times New Roman" w:cs="Times New Roman"/>
          <w:b/>
          <w:sz w:val="24"/>
          <w:szCs w:val="24"/>
        </w:rPr>
        <w:t>T</w:t>
      </w:r>
      <w:r w:rsidR="00ED6762">
        <w:rPr>
          <w:rFonts w:ascii="Times New Roman" w:hAnsi="Times New Roman" w:cs="Times New Roman"/>
          <w:b/>
          <w:sz w:val="24"/>
          <w:szCs w:val="24"/>
        </w:rPr>
        <w:t>aiwan</w:t>
      </w:r>
    </w:p>
    <w:p w14:paraId="5F4D790A" w14:textId="56F9DD05" w:rsidR="00801EE1" w:rsidRDefault="00801EE1" w:rsidP="0000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2D4CD1">
        <w:rPr>
          <w:rFonts w:ascii="Times New Roman" w:hAnsi="Times New Roman" w:cs="Times New Roman"/>
          <w:sz w:val="24"/>
          <w:szCs w:val="24"/>
          <w:highlight w:val="yellow"/>
        </w:rPr>
        <w:t>INSERT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773D77B2" w14:textId="77777777" w:rsidR="00ED6762" w:rsidRDefault="00ED6762" w:rsidP="00005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Singapore</w:t>
      </w:r>
    </w:p>
    <w:p w14:paraId="0F972600" w14:textId="77777777" w:rsidR="00ED6762" w:rsidRPr="00ED6762" w:rsidRDefault="00ED6762" w:rsidP="00794AF7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b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 xml:space="preserve">The </w:t>
      </w:r>
      <w:r w:rsidR="00801EE1" w:rsidRPr="00ED6762">
        <w:rPr>
          <w:rFonts w:ascii="Times New Roman" w:hAnsi="Times New Roman" w:cs="Times New Roman"/>
          <w:sz w:val="24"/>
          <w:szCs w:val="24"/>
        </w:rPr>
        <w:t>general anti-avoidance provision may apply.</w:t>
      </w:r>
    </w:p>
    <w:p w14:paraId="3CE373F0" w14:textId="3A2C98E6" w:rsidR="00801EE1" w:rsidRPr="00ED6762" w:rsidRDefault="00ED6762" w:rsidP="00794AF7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1EE1" w:rsidRPr="00ED6762">
        <w:rPr>
          <w:rFonts w:ascii="Times New Roman" w:hAnsi="Times New Roman" w:cs="Times New Roman"/>
          <w:sz w:val="24"/>
          <w:szCs w:val="24"/>
        </w:rPr>
        <w:t>ome recent treaties include a requirement similar to a PPT.</w:t>
      </w:r>
    </w:p>
    <w:p w14:paraId="58D9F1C4" w14:textId="77777777" w:rsidR="00ED6762" w:rsidRDefault="00801EE1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801EE1">
        <w:rPr>
          <w:rFonts w:ascii="Times New Roman" w:hAnsi="Times New Roman" w:cs="Times New Roman"/>
          <w:b/>
          <w:sz w:val="24"/>
          <w:szCs w:val="24"/>
        </w:rPr>
        <w:t>J</w:t>
      </w:r>
      <w:r w:rsidR="00ED6762">
        <w:rPr>
          <w:rFonts w:ascii="Times New Roman" w:hAnsi="Times New Roman" w:cs="Times New Roman"/>
          <w:b/>
          <w:sz w:val="24"/>
          <w:szCs w:val="24"/>
        </w:rPr>
        <w:t>apan</w:t>
      </w:r>
    </w:p>
    <w:p w14:paraId="41B97CD0" w14:textId="266F8232" w:rsidR="00801EE1" w:rsidRDefault="00801EE1" w:rsidP="00794AF7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Japanese treaties contain both PPT and LOB requirements.</w:t>
      </w:r>
    </w:p>
    <w:p w14:paraId="1EE28950" w14:textId="77777777" w:rsidR="00ED6762" w:rsidRPr="00ED6762" w:rsidRDefault="00ED6762" w:rsidP="00ED67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75414A" w14:textId="7A11D1AE" w:rsidR="00801EE1" w:rsidRPr="00801EE1" w:rsidRDefault="00801EE1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ED6762">
        <w:rPr>
          <w:rFonts w:ascii="Times New Roman" w:hAnsi="Times New Roman" w:cs="Times New Roman"/>
          <w:b/>
          <w:sz w:val="24"/>
          <w:szCs w:val="24"/>
          <w:highlight w:val="lightGray"/>
        </w:rPr>
        <w:t>A</w:t>
      </w:r>
      <w:r w:rsidR="00ED6762" w:rsidRPr="00ED676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ction 7: </w:t>
      </w:r>
      <w:r w:rsidRPr="00ED6762">
        <w:rPr>
          <w:rFonts w:ascii="Times New Roman" w:hAnsi="Times New Roman" w:cs="Times New Roman"/>
          <w:b/>
          <w:sz w:val="24"/>
          <w:szCs w:val="24"/>
          <w:highlight w:val="lightGray"/>
        </w:rPr>
        <w:t>Prevent the ar</w:t>
      </w:r>
      <w:r w:rsidR="00ED6762" w:rsidRPr="00ED6762">
        <w:rPr>
          <w:rFonts w:ascii="Times New Roman" w:hAnsi="Times New Roman" w:cs="Times New Roman"/>
          <w:b/>
          <w:sz w:val="24"/>
          <w:szCs w:val="24"/>
          <w:highlight w:val="lightGray"/>
        </w:rPr>
        <w:t>tificial avoidance of PE status</w:t>
      </w:r>
    </w:p>
    <w:p w14:paraId="63B2ADFA" w14:textId="77777777" w:rsidR="00E02C05" w:rsidRDefault="00E02C05" w:rsidP="00005490">
      <w:pPr>
        <w:rPr>
          <w:rFonts w:ascii="Times New Roman" w:hAnsi="Times New Roman" w:cs="Times New Roman"/>
          <w:sz w:val="24"/>
          <w:szCs w:val="24"/>
        </w:rPr>
      </w:pPr>
    </w:p>
    <w:p w14:paraId="6C7325F0" w14:textId="271F2621" w:rsidR="00801EE1" w:rsidRPr="00032C45" w:rsidRDefault="00ED6762" w:rsidP="00005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Malaysia</w:t>
      </w:r>
    </w:p>
    <w:p w14:paraId="2CF1134D" w14:textId="77777777" w:rsidR="00ED6762" w:rsidRDefault="00ED6762" w:rsidP="00794AF7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C</w:t>
      </w:r>
      <w:r w:rsidR="00032C45" w:rsidRPr="00ED6762">
        <w:rPr>
          <w:rFonts w:ascii="Times New Roman" w:hAnsi="Times New Roman" w:cs="Times New Roman"/>
          <w:sz w:val="24"/>
          <w:szCs w:val="24"/>
        </w:rPr>
        <w:t>ommissionaire arrangements are not common. There is no domestic or treaty provisions to address such arrangements.</w:t>
      </w:r>
    </w:p>
    <w:p w14:paraId="15B7A6C3" w14:textId="77777777" w:rsidR="00ED6762" w:rsidRDefault="00ED6762" w:rsidP="00794AF7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32C45" w:rsidRPr="00ED6762">
        <w:rPr>
          <w:rFonts w:ascii="Times New Roman" w:hAnsi="Times New Roman" w:cs="Times New Roman"/>
          <w:sz w:val="24"/>
          <w:szCs w:val="24"/>
        </w:rPr>
        <w:t>urrently there is an exemption for preliminary or auxiliary activities.</w:t>
      </w:r>
    </w:p>
    <w:p w14:paraId="60995907" w14:textId="24B445C3" w:rsidR="00032C45" w:rsidRPr="00ED6762" w:rsidRDefault="00ED6762" w:rsidP="00794AF7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32C45" w:rsidRPr="00ED6762">
        <w:rPr>
          <w:rFonts w:ascii="Times New Roman" w:hAnsi="Times New Roman" w:cs="Times New Roman"/>
          <w:sz w:val="24"/>
          <w:szCs w:val="24"/>
        </w:rPr>
        <w:t>rtificial fragmentation of contracts is a concern.</w:t>
      </w:r>
    </w:p>
    <w:p w14:paraId="58C92C35" w14:textId="5CDD62EE" w:rsidR="00E02C05" w:rsidRPr="00A9555E" w:rsidRDefault="00032C45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9555E">
        <w:rPr>
          <w:rFonts w:ascii="Times New Roman" w:hAnsi="Times New Roman" w:cs="Times New Roman"/>
          <w:b/>
          <w:sz w:val="24"/>
          <w:szCs w:val="24"/>
        </w:rPr>
        <w:t>H</w:t>
      </w:r>
      <w:r w:rsidR="00ED6762">
        <w:rPr>
          <w:rFonts w:ascii="Times New Roman" w:hAnsi="Times New Roman" w:cs="Times New Roman"/>
          <w:b/>
          <w:sz w:val="24"/>
          <w:szCs w:val="24"/>
        </w:rPr>
        <w:t>ong Kong</w:t>
      </w:r>
    </w:p>
    <w:p w14:paraId="48373EE3" w14:textId="77777777" w:rsidR="00ED6762" w:rsidRDefault="00ED6762" w:rsidP="00794AF7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C</w:t>
      </w:r>
      <w:r w:rsidR="00032C45" w:rsidRPr="00ED6762">
        <w:rPr>
          <w:rFonts w:ascii="Times New Roman" w:hAnsi="Times New Roman" w:cs="Times New Roman"/>
          <w:sz w:val="24"/>
          <w:szCs w:val="24"/>
        </w:rPr>
        <w:t>ommissionaire arrangements are not common. There are no domestic or treaty provisions to address such arrangements.</w:t>
      </w:r>
    </w:p>
    <w:p w14:paraId="4AA8E22F" w14:textId="77777777" w:rsidR="00ED6762" w:rsidRDefault="00032C45" w:rsidP="00794AF7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Hong Kong taxes only profits sourced domestically and has an ‘operations test’ to determine source. Preparatory and auxiliary activities are not relevant to determining where the operations are carried out.</w:t>
      </w:r>
    </w:p>
    <w:p w14:paraId="12B27612" w14:textId="77777777" w:rsidR="00ED6762" w:rsidRDefault="00ED6762" w:rsidP="00794AF7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32C45" w:rsidRPr="00ED6762">
        <w:rPr>
          <w:rFonts w:ascii="Times New Roman" w:hAnsi="Times New Roman" w:cs="Times New Roman"/>
          <w:sz w:val="24"/>
          <w:szCs w:val="24"/>
        </w:rPr>
        <w:t>preparatory or auxiliar</w:t>
      </w:r>
      <w:r w:rsidR="00A9555E" w:rsidRPr="00ED6762">
        <w:rPr>
          <w:rFonts w:ascii="Times New Roman" w:hAnsi="Times New Roman" w:cs="Times New Roman"/>
          <w:sz w:val="24"/>
          <w:szCs w:val="24"/>
        </w:rPr>
        <w:t>y activities exemption could be contrary to the present testing requirement.</w:t>
      </w:r>
    </w:p>
    <w:p w14:paraId="384EA06A" w14:textId="0A6E593F" w:rsidR="00A9555E" w:rsidRPr="00ED6762" w:rsidRDefault="00ED6762" w:rsidP="00794AF7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9555E" w:rsidRPr="00ED6762">
        <w:rPr>
          <w:rFonts w:ascii="Times New Roman" w:hAnsi="Times New Roman" w:cs="Times New Roman"/>
          <w:sz w:val="24"/>
          <w:szCs w:val="24"/>
        </w:rPr>
        <w:t>ragmentation of contracts is not common.</w:t>
      </w:r>
    </w:p>
    <w:p w14:paraId="3B6CDF7F" w14:textId="1B0EEA92" w:rsidR="00A9555E" w:rsidRPr="00A9555E" w:rsidRDefault="00A9555E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A9555E">
        <w:rPr>
          <w:rFonts w:ascii="Times New Roman" w:hAnsi="Times New Roman" w:cs="Times New Roman"/>
          <w:b/>
          <w:sz w:val="24"/>
          <w:szCs w:val="24"/>
        </w:rPr>
        <w:t>A</w:t>
      </w:r>
      <w:r w:rsidR="00ED6762">
        <w:rPr>
          <w:rFonts w:ascii="Times New Roman" w:hAnsi="Times New Roman" w:cs="Times New Roman"/>
          <w:b/>
          <w:sz w:val="24"/>
          <w:szCs w:val="24"/>
        </w:rPr>
        <w:t>ustralia</w:t>
      </w:r>
    </w:p>
    <w:p w14:paraId="6DA98DFC" w14:textId="77777777" w:rsidR="00ED6762" w:rsidRDefault="00ED6762" w:rsidP="00794AF7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C</w:t>
      </w:r>
      <w:r w:rsidR="00A9555E" w:rsidRPr="00ED6762">
        <w:rPr>
          <w:rFonts w:ascii="Times New Roman" w:hAnsi="Times New Roman" w:cs="Times New Roman"/>
          <w:sz w:val="24"/>
          <w:szCs w:val="24"/>
        </w:rPr>
        <w:t>ommissionaire arrangements are not common in Australia.</w:t>
      </w:r>
    </w:p>
    <w:p w14:paraId="68CBEC89" w14:textId="77777777" w:rsidR="00ED6762" w:rsidRDefault="00A9555E" w:rsidP="00794AF7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The newly introduced multi-national anti-avoidance provision (“MAAL”) may combat such arrangements.</w:t>
      </w:r>
    </w:p>
    <w:p w14:paraId="299170E3" w14:textId="77777777" w:rsidR="00ED6762" w:rsidRDefault="00ED6762" w:rsidP="00794AF7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T</w:t>
      </w:r>
      <w:r w:rsidR="00A9555E" w:rsidRPr="00ED6762">
        <w:rPr>
          <w:rFonts w:ascii="Times New Roman" w:hAnsi="Times New Roman" w:cs="Times New Roman"/>
          <w:sz w:val="24"/>
          <w:szCs w:val="24"/>
        </w:rPr>
        <w:t>here is a specific exemption for preparatory or auxiliary activities. It is not clear how large a problem is presented by the exemption.</w:t>
      </w:r>
    </w:p>
    <w:p w14:paraId="0E6E40B0" w14:textId="77777777" w:rsidR="00ED6762" w:rsidRDefault="00ED6762" w:rsidP="00794AF7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N</w:t>
      </w:r>
      <w:r w:rsidR="00A9555E" w:rsidRPr="00ED6762">
        <w:rPr>
          <w:rFonts w:ascii="Times New Roman" w:hAnsi="Times New Roman" w:cs="Times New Roman"/>
          <w:sz w:val="24"/>
          <w:szCs w:val="24"/>
        </w:rPr>
        <w:t xml:space="preserve">ot clear whether fragmentation of contracts is a material concern. </w:t>
      </w:r>
    </w:p>
    <w:p w14:paraId="27D5EB9E" w14:textId="1FB56504" w:rsidR="00A9555E" w:rsidRPr="00ED6762" w:rsidRDefault="00ED6762" w:rsidP="00794AF7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9555E" w:rsidRPr="00ED6762">
        <w:rPr>
          <w:rFonts w:ascii="Times New Roman" w:hAnsi="Times New Roman" w:cs="Times New Roman"/>
          <w:sz w:val="24"/>
          <w:szCs w:val="24"/>
        </w:rPr>
        <w:t>here will be issues arising when treaties are being negotiated with reconciling the treaty provisions with the MAAL.</w:t>
      </w:r>
    </w:p>
    <w:p w14:paraId="54BCC92A" w14:textId="4E7B3471" w:rsidR="00A9555E" w:rsidRPr="00F10DA5" w:rsidRDefault="00A9555E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F10DA5">
        <w:rPr>
          <w:rFonts w:ascii="Times New Roman" w:hAnsi="Times New Roman" w:cs="Times New Roman"/>
          <w:b/>
          <w:sz w:val="24"/>
          <w:szCs w:val="24"/>
        </w:rPr>
        <w:t>C</w:t>
      </w:r>
      <w:r w:rsidR="00ED6762">
        <w:rPr>
          <w:rFonts w:ascii="Times New Roman" w:hAnsi="Times New Roman" w:cs="Times New Roman"/>
          <w:b/>
          <w:sz w:val="24"/>
          <w:szCs w:val="24"/>
        </w:rPr>
        <w:t>hina</w:t>
      </w:r>
    </w:p>
    <w:p w14:paraId="658CAA35" w14:textId="77777777" w:rsidR="00ED6762" w:rsidRDefault="00ED6762" w:rsidP="00794AF7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C</w:t>
      </w:r>
      <w:r w:rsidR="00A9555E" w:rsidRPr="00ED6762">
        <w:rPr>
          <w:rFonts w:ascii="Times New Roman" w:hAnsi="Times New Roman" w:cs="Times New Roman"/>
          <w:sz w:val="24"/>
          <w:szCs w:val="24"/>
        </w:rPr>
        <w:t xml:space="preserve">ommissionaire arrangements are not common. Dependent agent arrangements are more frequently used. </w:t>
      </w:r>
    </w:p>
    <w:p w14:paraId="1569F62A" w14:textId="77777777" w:rsidR="00ED6762" w:rsidRDefault="00ED6762" w:rsidP="00794AF7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9555E" w:rsidRPr="00ED6762">
        <w:rPr>
          <w:rFonts w:ascii="Times New Roman" w:hAnsi="Times New Roman" w:cs="Times New Roman"/>
          <w:sz w:val="24"/>
          <w:szCs w:val="24"/>
        </w:rPr>
        <w:t>he OECD treaty provisions are widely adopted in China’s treaty network.</w:t>
      </w:r>
    </w:p>
    <w:p w14:paraId="354CD6F0" w14:textId="77777777" w:rsidR="00ED6762" w:rsidRDefault="00ED6762" w:rsidP="00794AF7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10DA5" w:rsidRPr="00ED6762">
        <w:rPr>
          <w:rFonts w:ascii="Times New Roman" w:hAnsi="Times New Roman" w:cs="Times New Roman"/>
          <w:sz w:val="24"/>
          <w:szCs w:val="24"/>
        </w:rPr>
        <w:t>here is an exemption for prepa</w:t>
      </w:r>
      <w:r>
        <w:rPr>
          <w:rFonts w:ascii="Times New Roman" w:hAnsi="Times New Roman" w:cs="Times New Roman"/>
          <w:sz w:val="24"/>
          <w:szCs w:val="24"/>
        </w:rPr>
        <w:t>ratory or auxiliary activities.</w:t>
      </w:r>
    </w:p>
    <w:p w14:paraId="31EADDB1" w14:textId="6E5F9055" w:rsidR="00F10DA5" w:rsidRPr="00ED6762" w:rsidRDefault="00ED6762" w:rsidP="00794AF7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T</w:t>
      </w:r>
      <w:r w:rsidR="00F10DA5" w:rsidRPr="00ED6762">
        <w:rPr>
          <w:rFonts w:ascii="Times New Roman" w:hAnsi="Times New Roman" w:cs="Times New Roman"/>
          <w:sz w:val="24"/>
          <w:szCs w:val="24"/>
        </w:rPr>
        <w:t>here are some companies taking advantage of fragmentation of contracts and which may be resolved by adopting the OECD recommendation.</w:t>
      </w:r>
      <w:r w:rsidR="00794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7CC60" w14:textId="064E21F7" w:rsidR="00F10DA5" w:rsidRPr="00F10DA5" w:rsidRDefault="00F10DA5" w:rsidP="00005490">
      <w:pPr>
        <w:rPr>
          <w:rFonts w:ascii="Times New Roman" w:hAnsi="Times New Roman" w:cs="Times New Roman"/>
          <w:b/>
          <w:sz w:val="24"/>
          <w:szCs w:val="24"/>
        </w:rPr>
      </w:pPr>
      <w:r w:rsidRPr="00F10DA5">
        <w:rPr>
          <w:rFonts w:ascii="Times New Roman" w:hAnsi="Times New Roman" w:cs="Times New Roman"/>
          <w:b/>
          <w:sz w:val="24"/>
          <w:szCs w:val="24"/>
        </w:rPr>
        <w:t>T</w:t>
      </w:r>
      <w:r w:rsidR="00ED6762">
        <w:rPr>
          <w:rFonts w:ascii="Times New Roman" w:hAnsi="Times New Roman" w:cs="Times New Roman"/>
          <w:b/>
          <w:sz w:val="24"/>
          <w:szCs w:val="24"/>
        </w:rPr>
        <w:t>aiwan</w:t>
      </w:r>
    </w:p>
    <w:p w14:paraId="162FB684" w14:textId="4D632128" w:rsidR="00F10DA5" w:rsidRDefault="00F10DA5" w:rsidP="0000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2D4CD1">
        <w:rPr>
          <w:rFonts w:ascii="Times New Roman" w:hAnsi="Times New Roman" w:cs="Times New Roman"/>
          <w:sz w:val="24"/>
          <w:szCs w:val="24"/>
          <w:highlight w:val="yellow"/>
        </w:rPr>
        <w:t>INSERT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A1202B8" w14:textId="77777777" w:rsidR="00ED6762" w:rsidRDefault="00ED6762" w:rsidP="00005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Singapore</w:t>
      </w:r>
    </w:p>
    <w:p w14:paraId="3BD02873" w14:textId="77777777" w:rsidR="00ED6762" w:rsidRPr="00ED6762" w:rsidRDefault="00ED6762" w:rsidP="00794AF7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ED6762">
        <w:rPr>
          <w:rFonts w:ascii="Times New Roman" w:hAnsi="Times New Roman" w:cs="Times New Roman"/>
          <w:sz w:val="24"/>
          <w:szCs w:val="24"/>
        </w:rPr>
        <w:t>C</w:t>
      </w:r>
      <w:r w:rsidR="00F10DA5" w:rsidRPr="00ED6762">
        <w:rPr>
          <w:rFonts w:ascii="Times New Roman" w:hAnsi="Times New Roman" w:cs="Times New Roman"/>
          <w:sz w:val="24"/>
          <w:szCs w:val="24"/>
        </w:rPr>
        <w:t>ommissionaire arrangements are not common. Agency arrangements are more common.</w:t>
      </w:r>
    </w:p>
    <w:p w14:paraId="57FA84CA" w14:textId="77777777" w:rsidR="00ED6762" w:rsidRPr="00ED6762" w:rsidRDefault="00ED6762" w:rsidP="00794AF7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10DA5" w:rsidRPr="00ED6762">
        <w:rPr>
          <w:rFonts w:ascii="Times New Roman" w:hAnsi="Times New Roman" w:cs="Times New Roman"/>
          <w:sz w:val="24"/>
          <w:szCs w:val="24"/>
        </w:rPr>
        <w:t>commissionaire arrangement is likely to be treated as a principal carrying on bus</w:t>
      </w:r>
      <w:r>
        <w:rPr>
          <w:rFonts w:ascii="Times New Roman" w:hAnsi="Times New Roman" w:cs="Times New Roman"/>
          <w:sz w:val="24"/>
          <w:szCs w:val="24"/>
        </w:rPr>
        <w:t>iness through a dependent agent/</w:t>
      </w:r>
    </w:p>
    <w:p w14:paraId="6CFA83D5" w14:textId="77777777" w:rsidR="00ED6762" w:rsidRPr="00ED6762" w:rsidRDefault="00ED6762" w:rsidP="00794AF7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10DA5" w:rsidRPr="00ED6762">
        <w:rPr>
          <w:rFonts w:ascii="Times New Roman" w:hAnsi="Times New Roman" w:cs="Times New Roman"/>
          <w:sz w:val="24"/>
          <w:szCs w:val="24"/>
        </w:rPr>
        <w:t>he issue in Singapore is whether the income is sourced there</w:t>
      </w:r>
      <w:r>
        <w:rPr>
          <w:rFonts w:ascii="Times New Roman" w:hAnsi="Times New Roman" w:cs="Times New Roman"/>
          <w:sz w:val="24"/>
          <w:szCs w:val="24"/>
        </w:rPr>
        <w:t xml:space="preserve"> rather than the existence of </w:t>
      </w:r>
      <w:r w:rsidR="00F10DA5" w:rsidRPr="00ED6762">
        <w:rPr>
          <w:rFonts w:ascii="Times New Roman" w:hAnsi="Times New Roman" w:cs="Times New Roman"/>
          <w:sz w:val="24"/>
          <w:szCs w:val="24"/>
        </w:rPr>
        <w:t>PE.</w:t>
      </w:r>
    </w:p>
    <w:p w14:paraId="37A2E170" w14:textId="77777777" w:rsidR="00316783" w:rsidRPr="00316783" w:rsidRDefault="00ED6762" w:rsidP="00794AF7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10DA5" w:rsidRPr="00ED6762">
        <w:rPr>
          <w:rFonts w:ascii="Times New Roman" w:hAnsi="Times New Roman" w:cs="Times New Roman"/>
          <w:sz w:val="24"/>
          <w:szCs w:val="24"/>
        </w:rPr>
        <w:t>reaties contain an exemption for preparatory or auxiliary activity (following the OECD model).</w:t>
      </w:r>
    </w:p>
    <w:p w14:paraId="4E012FB1" w14:textId="77777777" w:rsidR="00316783" w:rsidRPr="00316783" w:rsidRDefault="00316783" w:rsidP="00794AF7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10DA5" w:rsidRPr="00316783">
        <w:rPr>
          <w:rFonts w:ascii="Times New Roman" w:hAnsi="Times New Roman" w:cs="Times New Roman"/>
          <w:sz w:val="24"/>
          <w:szCs w:val="24"/>
        </w:rPr>
        <w:t xml:space="preserve"> representative office can undertake preparatory or auxiliary activities under the domestic law without being treated as carrying on a business </w:t>
      </w:r>
      <w:r w:rsidR="00C72FEA" w:rsidRPr="00316783">
        <w:rPr>
          <w:rFonts w:ascii="Times New Roman" w:hAnsi="Times New Roman" w:cs="Times New Roman"/>
          <w:sz w:val="24"/>
          <w:szCs w:val="24"/>
        </w:rPr>
        <w:t>but limited to 2 to 4 years.</w:t>
      </w:r>
    </w:p>
    <w:p w14:paraId="458676BA" w14:textId="77777777" w:rsidR="00316783" w:rsidRPr="00316783" w:rsidRDefault="00316783" w:rsidP="00794AF7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72FEA" w:rsidRPr="00316783">
        <w:rPr>
          <w:rFonts w:ascii="Times New Roman" w:hAnsi="Times New Roman" w:cs="Times New Roman"/>
          <w:sz w:val="24"/>
          <w:szCs w:val="24"/>
        </w:rPr>
        <w:t>ragmentation of contracts is not a major concern.</w:t>
      </w:r>
    </w:p>
    <w:p w14:paraId="7D2DC965" w14:textId="3FBEBC55" w:rsidR="00C72FEA" w:rsidRPr="00316783" w:rsidRDefault="00316783" w:rsidP="00794AF7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72FEA" w:rsidRPr="00316783">
        <w:rPr>
          <w:rFonts w:ascii="Times New Roman" w:hAnsi="Times New Roman" w:cs="Times New Roman"/>
          <w:sz w:val="24"/>
          <w:szCs w:val="24"/>
        </w:rPr>
        <w:t>he subjective nature of the tests recommended by the OECD is likely to create greater uncertainty for taxpayers.</w:t>
      </w:r>
    </w:p>
    <w:p w14:paraId="60943322" w14:textId="0C02AF9E" w:rsidR="00C72FEA" w:rsidRDefault="00C72FEA" w:rsidP="00005490">
      <w:pPr>
        <w:rPr>
          <w:rFonts w:ascii="Times New Roman" w:hAnsi="Times New Roman" w:cs="Times New Roman"/>
          <w:sz w:val="24"/>
          <w:szCs w:val="24"/>
        </w:rPr>
      </w:pPr>
      <w:r w:rsidRPr="008A2026">
        <w:rPr>
          <w:rFonts w:ascii="Times New Roman" w:hAnsi="Times New Roman" w:cs="Times New Roman"/>
          <w:b/>
          <w:sz w:val="24"/>
          <w:szCs w:val="24"/>
        </w:rPr>
        <w:t>Japan</w:t>
      </w:r>
    </w:p>
    <w:p w14:paraId="17E35A39" w14:textId="77777777" w:rsidR="00316783" w:rsidRDefault="00C72FEA" w:rsidP="00794AF7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 xml:space="preserve">Commissionaire arrangements are common. </w:t>
      </w:r>
    </w:p>
    <w:p w14:paraId="52429F36" w14:textId="77777777" w:rsidR="00316783" w:rsidRDefault="00316783" w:rsidP="00794AF7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A2026" w:rsidRPr="00316783">
        <w:rPr>
          <w:rFonts w:ascii="Times New Roman" w:hAnsi="Times New Roman" w:cs="Times New Roman"/>
          <w:sz w:val="24"/>
          <w:szCs w:val="24"/>
        </w:rPr>
        <w:t>here is exemption for preparatory or auxiliary activities in the domestic law and most treaties.</w:t>
      </w:r>
    </w:p>
    <w:p w14:paraId="4723A0CE" w14:textId="3AD5CE4D" w:rsidR="008A2026" w:rsidRPr="00316783" w:rsidRDefault="00316783" w:rsidP="00794AF7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A2026" w:rsidRPr="00316783">
        <w:rPr>
          <w:rFonts w:ascii="Times New Roman" w:hAnsi="Times New Roman" w:cs="Times New Roman"/>
          <w:sz w:val="24"/>
          <w:szCs w:val="24"/>
        </w:rPr>
        <w:t>ragmen</w:t>
      </w:r>
      <w:r w:rsidR="002D4CD1">
        <w:rPr>
          <w:rFonts w:ascii="Times New Roman" w:hAnsi="Times New Roman" w:cs="Times New Roman"/>
          <w:sz w:val="24"/>
          <w:szCs w:val="24"/>
        </w:rPr>
        <w:t>t</w:t>
      </w:r>
      <w:r w:rsidR="008A2026" w:rsidRPr="00316783">
        <w:rPr>
          <w:rFonts w:ascii="Times New Roman" w:hAnsi="Times New Roman" w:cs="Times New Roman"/>
          <w:sz w:val="24"/>
          <w:szCs w:val="24"/>
        </w:rPr>
        <w:t>ation of contracts is a concern in Japan and may be addressed by the OECD recommendation.</w:t>
      </w:r>
    </w:p>
    <w:p w14:paraId="478AC9F6" w14:textId="6A4BA1C2" w:rsidR="008A2026" w:rsidRDefault="00794AF7" w:rsidP="0000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026">
        <w:rPr>
          <w:rFonts w:ascii="Times New Roman" w:hAnsi="Times New Roman" w:cs="Times New Roman"/>
          <w:sz w:val="24"/>
          <w:szCs w:val="24"/>
        </w:rPr>
        <w:t xml:space="preserve"> </w:t>
      </w:r>
      <w:r w:rsidR="008A2026" w:rsidRPr="008A2026">
        <w:rPr>
          <w:rFonts w:ascii="Times New Roman" w:hAnsi="Times New Roman" w:cs="Times New Roman"/>
          <w:b/>
          <w:sz w:val="24"/>
          <w:szCs w:val="24"/>
        </w:rPr>
        <w:t>General Regional Observations</w:t>
      </w:r>
    </w:p>
    <w:p w14:paraId="12FFA9F5" w14:textId="77777777" w:rsidR="00316783" w:rsidRDefault="00316783" w:rsidP="00794AF7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A2026" w:rsidRPr="00316783">
        <w:rPr>
          <w:rFonts w:ascii="Times New Roman" w:hAnsi="Times New Roman" w:cs="Times New Roman"/>
          <w:sz w:val="24"/>
          <w:szCs w:val="24"/>
        </w:rPr>
        <w:t xml:space="preserve">ommissionaire arrangements are not seen to be common place or of great concern in most </w:t>
      </w:r>
      <w:r>
        <w:rPr>
          <w:rFonts w:ascii="Times New Roman" w:hAnsi="Times New Roman" w:cs="Times New Roman"/>
          <w:sz w:val="24"/>
          <w:szCs w:val="24"/>
        </w:rPr>
        <w:t>jurisdictions apart from Japan [</w:t>
      </w:r>
      <w:r w:rsidR="008A2026" w:rsidRPr="00316783">
        <w:rPr>
          <w:rFonts w:ascii="Times New Roman" w:hAnsi="Times New Roman" w:cs="Times New Roman"/>
          <w:sz w:val="24"/>
          <w:szCs w:val="24"/>
        </w:rPr>
        <w:t>the accuracy of the Japanese observation needs to be checked].</w:t>
      </w:r>
    </w:p>
    <w:p w14:paraId="5C03B92C" w14:textId="77777777" w:rsidR="00316783" w:rsidRDefault="00316783" w:rsidP="00794AF7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A2026" w:rsidRPr="00316783">
        <w:rPr>
          <w:rFonts w:ascii="Times New Roman" w:hAnsi="Times New Roman" w:cs="Times New Roman"/>
          <w:sz w:val="24"/>
          <w:szCs w:val="24"/>
        </w:rPr>
        <w:t>reparatory or auxiliary activities are exempt in almost all countries and do not appear to raise great concerns.</w:t>
      </w:r>
    </w:p>
    <w:p w14:paraId="06ACD512" w14:textId="0CD22761" w:rsidR="008A2026" w:rsidRPr="00316783" w:rsidRDefault="00316783" w:rsidP="00794AF7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A2026" w:rsidRPr="00316783">
        <w:rPr>
          <w:rFonts w:ascii="Times New Roman" w:hAnsi="Times New Roman" w:cs="Times New Roman"/>
          <w:sz w:val="24"/>
          <w:szCs w:val="24"/>
        </w:rPr>
        <w:t>ragmentation of contracts is not a concern in all countries apart from Japan. The OECD recommendations would, if adopted, alleviate the problem.</w:t>
      </w:r>
    </w:p>
    <w:p w14:paraId="6D14BACB" w14:textId="77777777" w:rsidR="00E02C05" w:rsidRPr="00005490" w:rsidRDefault="00E02C05" w:rsidP="00005490">
      <w:pPr>
        <w:rPr>
          <w:rFonts w:ascii="Times New Roman" w:hAnsi="Times New Roman" w:cs="Times New Roman"/>
          <w:sz w:val="24"/>
          <w:szCs w:val="24"/>
        </w:rPr>
      </w:pPr>
    </w:p>
    <w:p w14:paraId="6D199CC7" w14:textId="2D3337F1" w:rsidR="0082587D" w:rsidRDefault="0082587D">
      <w:p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>Actio</w:t>
      </w:r>
      <w:r w:rsidR="005107B6"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>n</w:t>
      </w:r>
      <w:r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>s 8,</w:t>
      </w:r>
      <w:r w:rsidR="001721DC"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>9</w:t>
      </w:r>
      <w:r w:rsidR="001721DC"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>and</w:t>
      </w:r>
      <w:r w:rsidR="001721DC"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>10</w:t>
      </w:r>
      <w:r w:rsidR="00316783"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Aligning Transfer Pricing Outcomes with</w:t>
      </w:r>
      <w:r w:rsidR="005107B6"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Value Creation</w:t>
      </w:r>
    </w:p>
    <w:p w14:paraId="0AA06745" w14:textId="77777777" w:rsidR="005107B6" w:rsidRPr="00FE060C" w:rsidRDefault="005107B6">
      <w:pPr>
        <w:rPr>
          <w:rFonts w:ascii="Times New Roman" w:hAnsi="Times New Roman" w:cs="Times New Roman"/>
          <w:b/>
          <w:sz w:val="24"/>
          <w:szCs w:val="24"/>
        </w:rPr>
      </w:pPr>
      <w:r w:rsidRPr="00FE060C">
        <w:rPr>
          <w:rFonts w:ascii="Times New Roman" w:hAnsi="Times New Roman" w:cs="Times New Roman"/>
          <w:b/>
          <w:sz w:val="24"/>
          <w:szCs w:val="24"/>
        </w:rPr>
        <w:t>Malaysia</w:t>
      </w:r>
    </w:p>
    <w:p w14:paraId="53126BAC" w14:textId="77777777" w:rsidR="00316783" w:rsidRDefault="00C24A01" w:rsidP="00316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Arm’s length</w:t>
      </w:r>
      <w:r w:rsidR="005107B6">
        <w:rPr>
          <w:rFonts w:ascii="Times New Roman" w:hAnsi="Times New Roman" w:cs="Times New Roman"/>
          <w:sz w:val="24"/>
          <w:szCs w:val="24"/>
        </w:rPr>
        <w:t xml:space="preserve"> principle enshrined in legislation supported by </w:t>
      </w:r>
      <w:r w:rsidR="00911107">
        <w:rPr>
          <w:rFonts w:ascii="Times New Roman" w:hAnsi="Times New Roman" w:cs="Times New Roman"/>
          <w:sz w:val="24"/>
          <w:szCs w:val="24"/>
        </w:rPr>
        <w:t>a Transfer Pricing Study based on OECD guidelines.</w:t>
      </w:r>
    </w:p>
    <w:p w14:paraId="2A0F89ED" w14:textId="77777777" w:rsidR="00316783" w:rsidRDefault="00C24A01" w:rsidP="00316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Significant variations</w:t>
      </w:r>
    </w:p>
    <w:p w14:paraId="3CD66B8C" w14:textId="77777777" w:rsidR="00316783" w:rsidRPr="00316783" w:rsidRDefault="00316783" w:rsidP="00316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11107" w:rsidRPr="00316783">
        <w:rPr>
          <w:rFonts w:ascii="Times New Roman" w:hAnsi="Times New Roman" w:cs="Times New Roman"/>
          <w:sz w:val="24"/>
          <w:szCs w:val="24"/>
        </w:rPr>
        <w:t>on acceptance of foreign tested parties where information is either incorrect or unreliable.</w:t>
      </w:r>
    </w:p>
    <w:p w14:paraId="24F706D3" w14:textId="386D9883" w:rsidR="002E4376" w:rsidRPr="00316783" w:rsidRDefault="00316783" w:rsidP="002E4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8220E" w:rsidRPr="00316783">
        <w:rPr>
          <w:rFonts w:ascii="Times New Roman" w:hAnsi="Times New Roman" w:cs="Times New Roman"/>
          <w:sz w:val="24"/>
          <w:szCs w:val="24"/>
        </w:rPr>
        <w:t>hen finding a price point in a range of prices the</w:t>
      </w:r>
      <w:r w:rsidR="00C24A01" w:rsidRPr="00316783">
        <w:rPr>
          <w:rFonts w:ascii="Times New Roman" w:hAnsi="Times New Roman" w:cs="Times New Roman"/>
          <w:sz w:val="24"/>
          <w:szCs w:val="24"/>
        </w:rPr>
        <w:t xml:space="preserve"> </w:t>
      </w:r>
      <w:r w:rsidR="000C1D2E" w:rsidRPr="00316783">
        <w:rPr>
          <w:rFonts w:ascii="Times New Roman" w:hAnsi="Times New Roman" w:cs="Times New Roman"/>
          <w:sz w:val="24"/>
          <w:szCs w:val="24"/>
        </w:rPr>
        <w:t>median point</w:t>
      </w:r>
      <w:r w:rsidR="00B8220E" w:rsidRPr="00316783">
        <w:rPr>
          <w:rFonts w:ascii="Times New Roman" w:hAnsi="Times New Roman" w:cs="Times New Roman"/>
          <w:sz w:val="24"/>
          <w:szCs w:val="24"/>
        </w:rPr>
        <w:t xml:space="preserve"> is used instead of the interquartile range.</w:t>
      </w:r>
    </w:p>
    <w:p w14:paraId="7513B83A" w14:textId="77777777" w:rsidR="00316783" w:rsidRDefault="00C24A01" w:rsidP="00316783">
      <w:pPr>
        <w:pStyle w:val="ListParagraph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24A01">
        <w:rPr>
          <w:rFonts w:ascii="Times New Roman" w:hAnsi="Times New Roman" w:cs="Times New Roman"/>
          <w:sz w:val="24"/>
          <w:szCs w:val="24"/>
        </w:rPr>
        <w:t xml:space="preserve">The </w:t>
      </w:r>
      <w:r w:rsidR="000C1D2E" w:rsidRPr="00C24A01">
        <w:rPr>
          <w:rFonts w:ascii="Times New Roman" w:hAnsi="Times New Roman" w:cs="Times New Roman"/>
          <w:sz w:val="24"/>
          <w:szCs w:val="24"/>
        </w:rPr>
        <w:t>arm’s length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D2E">
        <w:rPr>
          <w:rFonts w:ascii="Times New Roman" w:hAnsi="Times New Roman" w:cs="Times New Roman"/>
          <w:sz w:val="24"/>
          <w:szCs w:val="24"/>
        </w:rPr>
        <w:t>principle</w:t>
      </w:r>
      <w:r>
        <w:rPr>
          <w:rFonts w:ascii="Times New Roman" w:hAnsi="Times New Roman" w:cs="Times New Roman"/>
          <w:sz w:val="24"/>
          <w:szCs w:val="24"/>
        </w:rPr>
        <w:t xml:space="preserve"> is paramount</w:t>
      </w:r>
      <w:r w:rsidR="00D9593D">
        <w:rPr>
          <w:rFonts w:ascii="Times New Roman" w:hAnsi="Times New Roman" w:cs="Times New Roman"/>
          <w:sz w:val="24"/>
          <w:szCs w:val="24"/>
        </w:rPr>
        <w:t xml:space="preserve"> but if the transaction has no commercial reality then a </w:t>
      </w:r>
      <w:r w:rsidR="000C1D2E">
        <w:rPr>
          <w:rFonts w:ascii="Times New Roman" w:hAnsi="Times New Roman" w:cs="Times New Roman"/>
          <w:sz w:val="24"/>
          <w:szCs w:val="24"/>
        </w:rPr>
        <w:t>comparison</w:t>
      </w:r>
      <w:r w:rsidR="00D9593D">
        <w:rPr>
          <w:rFonts w:ascii="Times New Roman" w:hAnsi="Times New Roman" w:cs="Times New Roman"/>
          <w:sz w:val="24"/>
          <w:szCs w:val="24"/>
        </w:rPr>
        <w:t xml:space="preserve"> with uncontrolled third parties will not carry much weight.</w:t>
      </w:r>
    </w:p>
    <w:p w14:paraId="33E60E17" w14:textId="6ABBBEF9" w:rsidR="000C1D2E" w:rsidRPr="00316783" w:rsidRDefault="00D9593D" w:rsidP="000C1D2E">
      <w:pPr>
        <w:pStyle w:val="ListParagraph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 xml:space="preserve">The </w:t>
      </w:r>
      <w:r w:rsidR="000C1D2E" w:rsidRPr="00316783">
        <w:rPr>
          <w:rFonts w:ascii="Times New Roman" w:hAnsi="Times New Roman" w:cs="Times New Roman"/>
          <w:sz w:val="24"/>
          <w:szCs w:val="24"/>
        </w:rPr>
        <w:t>proposed</w:t>
      </w:r>
      <w:r w:rsidRPr="00316783">
        <w:rPr>
          <w:rFonts w:ascii="Times New Roman" w:hAnsi="Times New Roman" w:cs="Times New Roman"/>
          <w:sz w:val="24"/>
          <w:szCs w:val="24"/>
        </w:rPr>
        <w:t xml:space="preserve"> changes to the guidelines are not expected to have a</w:t>
      </w:r>
      <w:r w:rsidR="000C1D2E" w:rsidRPr="00316783">
        <w:rPr>
          <w:rFonts w:ascii="Times New Roman" w:hAnsi="Times New Roman" w:cs="Times New Roman"/>
          <w:sz w:val="24"/>
          <w:szCs w:val="24"/>
        </w:rPr>
        <w:t>n impact on current practice.</w:t>
      </w:r>
    </w:p>
    <w:p w14:paraId="1BB75E87" w14:textId="77777777" w:rsidR="000C1D2E" w:rsidRDefault="000C1D2E" w:rsidP="000C1D2E">
      <w:pPr>
        <w:rPr>
          <w:rFonts w:ascii="Times New Roman" w:hAnsi="Times New Roman" w:cs="Times New Roman"/>
          <w:b/>
          <w:sz w:val="24"/>
          <w:szCs w:val="24"/>
        </w:rPr>
      </w:pPr>
      <w:r w:rsidRPr="000C1D2E">
        <w:rPr>
          <w:rFonts w:ascii="Times New Roman" w:hAnsi="Times New Roman" w:cs="Times New Roman"/>
          <w:b/>
          <w:sz w:val="24"/>
          <w:szCs w:val="24"/>
        </w:rPr>
        <w:t>Hong Kong</w:t>
      </w:r>
    </w:p>
    <w:p w14:paraId="64B2102C" w14:textId="77777777" w:rsidR="000C1D2E" w:rsidRDefault="001721DC" w:rsidP="00127A23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721DC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is a general provision in the Inland Revenue Ordinance which allows tax to be levied on associated </w:t>
      </w:r>
      <w:r w:rsidR="00B91A53">
        <w:rPr>
          <w:rFonts w:ascii="Times New Roman" w:hAnsi="Times New Roman" w:cs="Times New Roman"/>
          <w:sz w:val="24"/>
          <w:szCs w:val="24"/>
        </w:rPr>
        <w:t>non-resident profits diverted from Hong Kong.</w:t>
      </w:r>
      <w:r w:rsidR="003D2652">
        <w:rPr>
          <w:rFonts w:ascii="Times New Roman" w:hAnsi="Times New Roman" w:cs="Times New Roman"/>
          <w:sz w:val="24"/>
          <w:szCs w:val="24"/>
        </w:rPr>
        <w:t xml:space="preserve"> </w:t>
      </w:r>
      <w:r w:rsidR="00B91A53">
        <w:rPr>
          <w:rFonts w:ascii="Times New Roman" w:hAnsi="Times New Roman" w:cs="Times New Roman"/>
          <w:sz w:val="24"/>
          <w:szCs w:val="24"/>
        </w:rPr>
        <w:t>However the Inland Revenue Department</w:t>
      </w:r>
      <w:r w:rsidR="009A2128">
        <w:rPr>
          <w:rFonts w:ascii="Times New Roman" w:hAnsi="Times New Roman" w:cs="Times New Roman"/>
          <w:sz w:val="24"/>
          <w:szCs w:val="24"/>
        </w:rPr>
        <w:t xml:space="preserve"> (IRD)</w:t>
      </w:r>
      <w:r w:rsidR="00B91A53">
        <w:rPr>
          <w:rFonts w:ascii="Times New Roman" w:hAnsi="Times New Roman" w:cs="Times New Roman"/>
          <w:sz w:val="24"/>
          <w:szCs w:val="24"/>
        </w:rPr>
        <w:t xml:space="preserve"> tends to use other provisions to disallow </w:t>
      </w:r>
      <w:r w:rsidR="00B801C5">
        <w:rPr>
          <w:rFonts w:ascii="Times New Roman" w:hAnsi="Times New Roman" w:cs="Times New Roman"/>
          <w:sz w:val="24"/>
          <w:szCs w:val="24"/>
        </w:rPr>
        <w:t>expenses or</w:t>
      </w:r>
      <w:r w:rsidR="00B91A53">
        <w:rPr>
          <w:rFonts w:ascii="Times New Roman" w:hAnsi="Times New Roman" w:cs="Times New Roman"/>
          <w:sz w:val="24"/>
          <w:szCs w:val="24"/>
        </w:rPr>
        <w:t xml:space="preserve"> the general anti –avoidance provisions in transfer pricing cases</w:t>
      </w:r>
      <w:r w:rsidR="008A3644">
        <w:rPr>
          <w:rFonts w:ascii="Times New Roman" w:hAnsi="Times New Roman" w:cs="Times New Roman"/>
          <w:sz w:val="24"/>
          <w:szCs w:val="24"/>
        </w:rPr>
        <w:t>.</w:t>
      </w:r>
    </w:p>
    <w:p w14:paraId="1E234B7E" w14:textId="77777777" w:rsidR="008A3644" w:rsidRDefault="008A3644" w:rsidP="00127A23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proposed changes to the guidelines are generally acceptable however there is too little emphasis on location savings.</w:t>
      </w:r>
      <w:r w:rsidR="003D2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is important where </w:t>
      </w:r>
      <w:r w:rsidR="00B12E0D">
        <w:rPr>
          <w:rFonts w:ascii="Times New Roman" w:hAnsi="Times New Roman" w:cs="Times New Roman"/>
          <w:sz w:val="24"/>
          <w:szCs w:val="24"/>
        </w:rPr>
        <w:t>Hong Kong acts as an intermediary between two countries.</w:t>
      </w:r>
    </w:p>
    <w:p w14:paraId="4B13DCA4" w14:textId="77777777" w:rsidR="00B12E0D" w:rsidRDefault="00B12E0D" w:rsidP="00127A23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distinction between a cost sharing agreement </w:t>
      </w:r>
      <w:r w:rsidR="009A2128">
        <w:rPr>
          <w:rFonts w:ascii="Times New Roman" w:hAnsi="Times New Roman" w:cs="Times New Roman"/>
          <w:sz w:val="24"/>
          <w:szCs w:val="24"/>
        </w:rPr>
        <w:t>in developing intellectual property and a royalty is not recognised by the IRD.</w:t>
      </w:r>
    </w:p>
    <w:p w14:paraId="54045E70" w14:textId="77777777" w:rsidR="009A2128" w:rsidRDefault="009A2128" w:rsidP="00127A23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clarity is required on the profit split method.</w:t>
      </w:r>
    </w:p>
    <w:p w14:paraId="46A7C6E1" w14:textId="77777777" w:rsidR="009A2128" w:rsidRDefault="009A2128" w:rsidP="009A2128">
      <w:pPr>
        <w:rPr>
          <w:rFonts w:ascii="Times New Roman" w:hAnsi="Times New Roman" w:cs="Times New Roman"/>
          <w:b/>
          <w:sz w:val="24"/>
          <w:szCs w:val="24"/>
        </w:rPr>
      </w:pPr>
      <w:r w:rsidRPr="009A2128">
        <w:rPr>
          <w:rFonts w:ascii="Times New Roman" w:hAnsi="Times New Roman" w:cs="Times New Roman"/>
          <w:b/>
          <w:sz w:val="24"/>
          <w:szCs w:val="24"/>
        </w:rPr>
        <w:t>Australia</w:t>
      </w:r>
    </w:p>
    <w:p w14:paraId="2D857790" w14:textId="77777777" w:rsidR="009A2128" w:rsidRDefault="0028037B" w:rsidP="00127A23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8037B">
        <w:rPr>
          <w:rFonts w:ascii="Times New Roman" w:hAnsi="Times New Roman" w:cs="Times New Roman"/>
          <w:sz w:val="24"/>
          <w:szCs w:val="24"/>
        </w:rPr>
        <w:t xml:space="preserve">A substantial division in </w:t>
      </w:r>
      <w:r>
        <w:rPr>
          <w:rFonts w:ascii="Times New Roman" w:hAnsi="Times New Roman" w:cs="Times New Roman"/>
          <w:sz w:val="24"/>
          <w:szCs w:val="24"/>
        </w:rPr>
        <w:t>the 1997 Tax Act is devoted to transfer pricing.</w:t>
      </w:r>
    </w:p>
    <w:p w14:paraId="74489046" w14:textId="77777777" w:rsidR="0028037B" w:rsidRDefault="0028037B" w:rsidP="00127A23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Amendments have been made to </w:t>
      </w:r>
      <w:r w:rsidR="00D77BBA">
        <w:rPr>
          <w:rFonts w:ascii="Times New Roman" w:hAnsi="Times New Roman" w:cs="Times New Roman"/>
          <w:sz w:val="24"/>
          <w:szCs w:val="24"/>
        </w:rPr>
        <w:t>domestic</w:t>
      </w:r>
      <w:r>
        <w:rPr>
          <w:rFonts w:ascii="Times New Roman" w:hAnsi="Times New Roman" w:cs="Times New Roman"/>
          <w:sz w:val="24"/>
          <w:szCs w:val="24"/>
        </w:rPr>
        <w:t xml:space="preserve"> legislation to enshrine </w:t>
      </w:r>
      <w:r w:rsidR="0026778A">
        <w:rPr>
          <w:rFonts w:ascii="Times New Roman" w:hAnsi="Times New Roman" w:cs="Times New Roman"/>
          <w:sz w:val="24"/>
          <w:szCs w:val="24"/>
        </w:rPr>
        <w:t xml:space="preserve">OECD guidelines and ensure the domestic legislation is consistent with </w:t>
      </w:r>
      <w:r w:rsidR="00D77BBA">
        <w:rPr>
          <w:rFonts w:ascii="Times New Roman" w:hAnsi="Times New Roman" w:cs="Times New Roman"/>
          <w:sz w:val="24"/>
          <w:szCs w:val="24"/>
        </w:rPr>
        <w:t>the model treaty.</w:t>
      </w:r>
    </w:p>
    <w:p w14:paraId="1ED3B9C7" w14:textId="77777777" w:rsidR="00D77BBA" w:rsidRDefault="00D77BBA" w:rsidP="00127A23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proposed guidelines don’t prompt any changes to the current transfer pricing rules but provide enhanced guidance</w:t>
      </w:r>
      <w:r w:rsidR="00FE060C">
        <w:rPr>
          <w:rFonts w:ascii="Times New Roman" w:hAnsi="Times New Roman" w:cs="Times New Roman"/>
          <w:sz w:val="24"/>
          <w:szCs w:val="24"/>
        </w:rPr>
        <w:t>.</w:t>
      </w:r>
    </w:p>
    <w:p w14:paraId="3B8AD3F2" w14:textId="77777777" w:rsidR="00FE060C" w:rsidRDefault="00FE060C" w:rsidP="00FE060C">
      <w:pPr>
        <w:rPr>
          <w:rFonts w:ascii="Times New Roman" w:hAnsi="Times New Roman" w:cs="Times New Roman"/>
          <w:b/>
          <w:sz w:val="24"/>
          <w:szCs w:val="24"/>
        </w:rPr>
      </w:pPr>
      <w:r w:rsidRPr="00FE060C">
        <w:rPr>
          <w:rFonts w:ascii="Times New Roman" w:hAnsi="Times New Roman" w:cs="Times New Roman"/>
          <w:b/>
          <w:sz w:val="24"/>
          <w:szCs w:val="24"/>
        </w:rPr>
        <w:t>China</w:t>
      </w:r>
    </w:p>
    <w:p w14:paraId="57F1BDC9" w14:textId="77777777" w:rsidR="003D2652" w:rsidRDefault="003D2652" w:rsidP="00127A23">
      <w:pPr>
        <w:pStyle w:val="ListParagraph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3D2652">
        <w:rPr>
          <w:rFonts w:ascii="Times New Roman" w:hAnsi="Times New Roman" w:cs="Times New Roman"/>
          <w:sz w:val="24"/>
          <w:szCs w:val="24"/>
        </w:rPr>
        <w:t xml:space="preserve">Transfer </w:t>
      </w:r>
      <w:r w:rsidR="00E96151">
        <w:rPr>
          <w:rFonts w:ascii="Times New Roman" w:hAnsi="Times New Roman" w:cs="Times New Roman"/>
          <w:sz w:val="24"/>
          <w:szCs w:val="24"/>
        </w:rPr>
        <w:t>p</w:t>
      </w:r>
      <w:r w:rsidRPr="003D2652">
        <w:rPr>
          <w:rFonts w:ascii="Times New Roman" w:hAnsi="Times New Roman" w:cs="Times New Roman"/>
          <w:sz w:val="24"/>
          <w:szCs w:val="24"/>
        </w:rPr>
        <w:t xml:space="preserve">ricing methodology </w:t>
      </w:r>
      <w:r>
        <w:rPr>
          <w:rFonts w:ascii="Times New Roman" w:hAnsi="Times New Roman" w:cs="Times New Roman"/>
          <w:sz w:val="24"/>
          <w:szCs w:val="24"/>
        </w:rPr>
        <w:t xml:space="preserve">enshrined </w:t>
      </w:r>
      <w:r w:rsidR="00E96151">
        <w:rPr>
          <w:rFonts w:ascii="Times New Roman" w:hAnsi="Times New Roman" w:cs="Times New Roman"/>
          <w:sz w:val="24"/>
          <w:szCs w:val="24"/>
        </w:rPr>
        <w:t>in legislation since 2008.</w:t>
      </w:r>
    </w:p>
    <w:p w14:paraId="700A9DCF" w14:textId="1F6B99A4" w:rsidR="00E96151" w:rsidRDefault="00794AF7" w:rsidP="00127A23">
      <w:pPr>
        <w:pStyle w:val="ListParagraph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CC">
        <w:rPr>
          <w:rFonts w:ascii="Times New Roman" w:hAnsi="Times New Roman" w:cs="Times New Roman"/>
          <w:sz w:val="24"/>
          <w:szCs w:val="24"/>
        </w:rPr>
        <w:t xml:space="preserve"> </w:t>
      </w:r>
      <w:r w:rsidR="00E96151">
        <w:rPr>
          <w:rFonts w:ascii="Times New Roman" w:hAnsi="Times New Roman" w:cs="Times New Roman"/>
          <w:sz w:val="24"/>
          <w:szCs w:val="24"/>
        </w:rPr>
        <w:t>Uses OECD guidelines.</w:t>
      </w:r>
    </w:p>
    <w:p w14:paraId="62550D93" w14:textId="77777777" w:rsidR="00E96151" w:rsidRDefault="00E96151" w:rsidP="00127A23">
      <w:pPr>
        <w:pStyle w:val="ListParagraph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 changes provide useful guidelines.</w:t>
      </w:r>
    </w:p>
    <w:p w14:paraId="73F6B882" w14:textId="77777777" w:rsidR="00E96151" w:rsidRDefault="00E96151" w:rsidP="00127A23">
      <w:pPr>
        <w:pStyle w:val="ListParagraph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final report does not </w:t>
      </w:r>
      <w:r w:rsidR="00D02F89">
        <w:rPr>
          <w:rFonts w:ascii="Times New Roman" w:hAnsi="Times New Roman" w:cs="Times New Roman"/>
          <w:sz w:val="24"/>
          <w:szCs w:val="24"/>
        </w:rPr>
        <w:t>emphasise the location benefits.</w:t>
      </w:r>
    </w:p>
    <w:p w14:paraId="5B1159F2" w14:textId="77777777" w:rsidR="00D02F89" w:rsidRDefault="00D02F89" w:rsidP="00D02F89">
      <w:pPr>
        <w:rPr>
          <w:rFonts w:ascii="Times New Roman" w:hAnsi="Times New Roman" w:cs="Times New Roman"/>
          <w:b/>
          <w:sz w:val="24"/>
          <w:szCs w:val="24"/>
        </w:rPr>
      </w:pPr>
      <w:r w:rsidRPr="00D02F89">
        <w:rPr>
          <w:rFonts w:ascii="Times New Roman" w:hAnsi="Times New Roman" w:cs="Times New Roman"/>
          <w:b/>
          <w:sz w:val="24"/>
          <w:szCs w:val="24"/>
        </w:rPr>
        <w:t>Taiwan</w:t>
      </w:r>
    </w:p>
    <w:p w14:paraId="43B48988" w14:textId="77777777" w:rsidR="00D02F89" w:rsidRDefault="00E72C10" w:rsidP="00127A23">
      <w:pPr>
        <w:pStyle w:val="ListParagraph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72C10">
        <w:rPr>
          <w:rFonts w:ascii="Times New Roman" w:hAnsi="Times New Roman" w:cs="Times New Roman"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>fer pricing rules enshrined in domestic legislation.</w:t>
      </w:r>
      <w:r w:rsidR="00DD0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not follow OECD </w:t>
      </w:r>
      <w:r w:rsidR="00DD075C">
        <w:rPr>
          <w:rFonts w:ascii="Times New Roman" w:hAnsi="Times New Roman" w:cs="Times New Roman"/>
          <w:sz w:val="24"/>
          <w:szCs w:val="24"/>
        </w:rPr>
        <w:t xml:space="preserve">guidelines </w:t>
      </w:r>
      <w:r>
        <w:rPr>
          <w:rFonts w:ascii="Times New Roman" w:hAnsi="Times New Roman" w:cs="Times New Roman"/>
          <w:sz w:val="24"/>
          <w:szCs w:val="24"/>
        </w:rPr>
        <w:t>with respect to transfer pricing studies.</w:t>
      </w:r>
    </w:p>
    <w:p w14:paraId="000D0079" w14:textId="77777777" w:rsidR="00AF1847" w:rsidRDefault="00AF1847" w:rsidP="00127A23">
      <w:pPr>
        <w:pStyle w:val="ListParagraph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the </w:t>
      </w:r>
      <w:r w:rsidR="00DD075C">
        <w:rPr>
          <w:rFonts w:ascii="Times New Roman" w:hAnsi="Times New Roman" w:cs="Times New Roman"/>
          <w:sz w:val="24"/>
          <w:szCs w:val="24"/>
        </w:rPr>
        <w:t>comparable</w:t>
      </w:r>
      <w:r>
        <w:rPr>
          <w:rFonts w:ascii="Times New Roman" w:hAnsi="Times New Roman" w:cs="Times New Roman"/>
          <w:sz w:val="24"/>
          <w:szCs w:val="24"/>
        </w:rPr>
        <w:t xml:space="preserve"> profits method used rather tha</w:t>
      </w:r>
      <w:r w:rsidR="00DD075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the OECD preferred transaction net margin method.</w:t>
      </w:r>
    </w:p>
    <w:p w14:paraId="0DD7E22D" w14:textId="77777777" w:rsidR="00AF1847" w:rsidRDefault="00AF1847" w:rsidP="00127A23">
      <w:pPr>
        <w:pStyle w:val="ListParagraph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concern that the acceptance of the new guidelines will erode </w:t>
      </w:r>
      <w:r w:rsidR="00DD075C">
        <w:rPr>
          <w:rFonts w:ascii="Times New Roman" w:hAnsi="Times New Roman" w:cs="Times New Roman"/>
          <w:sz w:val="24"/>
          <w:szCs w:val="24"/>
        </w:rPr>
        <w:t>Taiwan’s</w:t>
      </w:r>
      <w:r>
        <w:rPr>
          <w:rFonts w:ascii="Times New Roman" w:hAnsi="Times New Roman" w:cs="Times New Roman"/>
          <w:sz w:val="24"/>
          <w:szCs w:val="24"/>
        </w:rPr>
        <w:t xml:space="preserve"> tax base.</w:t>
      </w:r>
    </w:p>
    <w:p w14:paraId="2E0C7F03" w14:textId="77777777" w:rsidR="007C6077" w:rsidRDefault="00AF1847" w:rsidP="009F5DCC">
      <w:pPr>
        <w:rPr>
          <w:rFonts w:ascii="Times New Roman" w:hAnsi="Times New Roman" w:cs="Times New Roman"/>
          <w:b/>
          <w:sz w:val="24"/>
          <w:szCs w:val="24"/>
        </w:rPr>
      </w:pPr>
      <w:r w:rsidRPr="00AF1847">
        <w:rPr>
          <w:rFonts w:ascii="Times New Roman" w:hAnsi="Times New Roman" w:cs="Times New Roman"/>
          <w:b/>
          <w:sz w:val="24"/>
          <w:szCs w:val="24"/>
        </w:rPr>
        <w:t>Singapore</w:t>
      </w:r>
    </w:p>
    <w:p w14:paraId="30717319" w14:textId="0B5EF4C4" w:rsidR="00654A76" w:rsidRPr="00654A76" w:rsidRDefault="00654A76" w:rsidP="002D4CD1">
      <w:pPr>
        <w:pStyle w:val="ListParagraph"/>
        <w:numPr>
          <w:ilvl w:val="0"/>
          <w:numId w:val="8"/>
        </w:num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pricing rules enshrined in legislation</w:t>
      </w:r>
      <w:r w:rsidR="00316783">
        <w:rPr>
          <w:rFonts w:ascii="Times New Roman" w:hAnsi="Times New Roman" w:cs="Times New Roman"/>
          <w:sz w:val="24"/>
          <w:szCs w:val="24"/>
        </w:rPr>
        <w:t>.</w:t>
      </w:r>
    </w:p>
    <w:p w14:paraId="0B5941A7" w14:textId="77777777" w:rsidR="00AF1847" w:rsidRDefault="00A5707A" w:rsidP="00127A23">
      <w:pPr>
        <w:pStyle w:val="ListParagraph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A5707A">
        <w:rPr>
          <w:rFonts w:ascii="Times New Roman" w:hAnsi="Times New Roman" w:cs="Times New Roman"/>
          <w:sz w:val="24"/>
          <w:szCs w:val="24"/>
        </w:rPr>
        <w:t>Does not use OECD</w:t>
      </w:r>
      <w:r>
        <w:rPr>
          <w:rFonts w:ascii="Times New Roman" w:hAnsi="Times New Roman" w:cs="Times New Roman"/>
          <w:sz w:val="24"/>
          <w:szCs w:val="24"/>
        </w:rPr>
        <w:t xml:space="preserve"> guidelines but proposed guidelines provide useful </w:t>
      </w:r>
      <w:r w:rsidR="00940239">
        <w:rPr>
          <w:rFonts w:ascii="Times New Roman" w:hAnsi="Times New Roman" w:cs="Times New Roman"/>
          <w:sz w:val="24"/>
          <w:szCs w:val="24"/>
        </w:rPr>
        <w:t>guidance.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866A7" w14:textId="5CE99605" w:rsidR="00654A76" w:rsidRDefault="00654A76" w:rsidP="00127A23">
      <w:pPr>
        <w:pStyle w:val="ListParagraph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pricing guidelines revised in 2015</w:t>
      </w:r>
      <w:r w:rsidR="00316783">
        <w:rPr>
          <w:rFonts w:ascii="Times New Roman" w:hAnsi="Times New Roman" w:cs="Times New Roman"/>
          <w:sz w:val="24"/>
          <w:szCs w:val="24"/>
        </w:rPr>
        <w:t>.</w:t>
      </w:r>
    </w:p>
    <w:p w14:paraId="60C6FD57" w14:textId="77777777" w:rsidR="00654A76" w:rsidRDefault="00654A76" w:rsidP="00127A23">
      <w:pPr>
        <w:pStyle w:val="ListParagraph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profit contribution and alignment with risk </w:t>
      </w:r>
      <w:r w:rsidR="00E154C3">
        <w:rPr>
          <w:rFonts w:ascii="Times New Roman" w:hAnsi="Times New Roman" w:cs="Times New Roman"/>
          <w:sz w:val="24"/>
          <w:szCs w:val="24"/>
        </w:rPr>
        <w:t>will be integrated into transfer pricing practice.</w:t>
      </w:r>
    </w:p>
    <w:p w14:paraId="4CF1E95E" w14:textId="77777777" w:rsidR="00E154C3" w:rsidRDefault="00E154C3" w:rsidP="00127A23">
      <w:pPr>
        <w:pStyle w:val="ListParagraph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Alignment of form over substance is not </w:t>
      </w:r>
      <w:r w:rsidR="00B801C5">
        <w:rPr>
          <w:rFonts w:ascii="Times New Roman" w:hAnsi="Times New Roman" w:cs="Times New Roman"/>
          <w:sz w:val="24"/>
          <w:szCs w:val="24"/>
        </w:rPr>
        <w:t>seen</w:t>
      </w:r>
      <w:r>
        <w:rPr>
          <w:rFonts w:ascii="Times New Roman" w:hAnsi="Times New Roman" w:cs="Times New Roman"/>
          <w:sz w:val="24"/>
          <w:szCs w:val="24"/>
        </w:rPr>
        <w:t xml:space="preserve"> as a departure from the arm’s length principle.</w:t>
      </w:r>
    </w:p>
    <w:p w14:paraId="7792912A" w14:textId="77777777" w:rsidR="00E154C3" w:rsidRDefault="00E154C3" w:rsidP="00E154C3">
      <w:pPr>
        <w:rPr>
          <w:rFonts w:ascii="Times New Roman" w:hAnsi="Times New Roman" w:cs="Times New Roman"/>
          <w:b/>
          <w:sz w:val="24"/>
          <w:szCs w:val="24"/>
        </w:rPr>
      </w:pPr>
      <w:r w:rsidRPr="00E154C3">
        <w:rPr>
          <w:rFonts w:ascii="Times New Roman" w:hAnsi="Times New Roman" w:cs="Times New Roman"/>
          <w:b/>
          <w:sz w:val="24"/>
          <w:szCs w:val="24"/>
        </w:rPr>
        <w:t>Japan</w:t>
      </w:r>
    </w:p>
    <w:p w14:paraId="4CD7E62D" w14:textId="77777777" w:rsidR="00E154C3" w:rsidRDefault="003F6D4E" w:rsidP="00127A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F6D4E">
        <w:rPr>
          <w:rFonts w:ascii="Times New Roman" w:hAnsi="Times New Roman" w:cs="Times New Roman"/>
          <w:sz w:val="24"/>
          <w:szCs w:val="24"/>
        </w:rPr>
        <w:t>Transfer pricing rules enshrined in legislation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6382C" w14:textId="77777777" w:rsidR="003F6D4E" w:rsidRDefault="003F6D4E" w:rsidP="00127A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Uses OECD guidelines.</w:t>
      </w:r>
    </w:p>
    <w:p w14:paraId="30C5B213" w14:textId="77777777" w:rsidR="003F6D4E" w:rsidRDefault="003F6D4E" w:rsidP="00127A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 seen as useful guidance.</w:t>
      </w:r>
    </w:p>
    <w:p w14:paraId="2B4D3E52" w14:textId="77777777" w:rsidR="003F6D4E" w:rsidRDefault="00B801C5" w:rsidP="00127A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</w:t>
      </w:r>
      <w:r w:rsidR="003F6D4E">
        <w:rPr>
          <w:rFonts w:ascii="Times New Roman" w:hAnsi="Times New Roman" w:cs="Times New Roman"/>
          <w:sz w:val="24"/>
          <w:szCs w:val="24"/>
        </w:rPr>
        <w:t xml:space="preserve"> about adoption of guidelines unless the whole world does.</w:t>
      </w:r>
    </w:p>
    <w:p w14:paraId="4D5CAB33" w14:textId="77777777" w:rsidR="00B801C5" w:rsidRDefault="00B801C5" w:rsidP="00B801C5">
      <w:pPr>
        <w:rPr>
          <w:rFonts w:ascii="Times New Roman" w:hAnsi="Times New Roman" w:cs="Times New Roman"/>
          <w:sz w:val="24"/>
          <w:szCs w:val="24"/>
        </w:rPr>
      </w:pPr>
    </w:p>
    <w:p w14:paraId="7720B471" w14:textId="77777777" w:rsidR="00B801C5" w:rsidRDefault="00B801C5" w:rsidP="00B801C5">
      <w:pPr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>General Regional Observations</w:t>
      </w:r>
    </w:p>
    <w:p w14:paraId="3CB748FD" w14:textId="77777777" w:rsidR="00972361" w:rsidRDefault="00972361" w:rsidP="00127A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2361">
        <w:rPr>
          <w:rFonts w:ascii="Times New Roman" w:hAnsi="Times New Roman" w:cs="Times New Roman"/>
          <w:sz w:val="24"/>
          <w:szCs w:val="24"/>
        </w:rPr>
        <w:t>All jurisdictions enshrine transfer pri</w:t>
      </w:r>
      <w:r>
        <w:rPr>
          <w:rFonts w:ascii="Times New Roman" w:hAnsi="Times New Roman" w:cs="Times New Roman"/>
          <w:sz w:val="24"/>
          <w:szCs w:val="24"/>
        </w:rPr>
        <w:t>cing rules in domestic legislation.</w:t>
      </w:r>
    </w:p>
    <w:p w14:paraId="5E77E827" w14:textId="77777777" w:rsidR="00972361" w:rsidRDefault="00972361" w:rsidP="00127A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Australia as the exception the prosed </w:t>
      </w:r>
      <w:r w:rsidR="009524FF">
        <w:rPr>
          <w:rFonts w:ascii="Times New Roman" w:hAnsi="Times New Roman" w:cs="Times New Roman"/>
          <w:sz w:val="24"/>
          <w:szCs w:val="24"/>
        </w:rPr>
        <w:t>recommendations seen as only useful guidelines.</w:t>
      </w:r>
    </w:p>
    <w:p w14:paraId="3911FCA1" w14:textId="77777777" w:rsidR="009524FF" w:rsidRDefault="009524FF" w:rsidP="00127A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countries feel not enough emphasis on location advantages.</w:t>
      </w:r>
    </w:p>
    <w:p w14:paraId="02158BE0" w14:textId="77777777" w:rsidR="009524FF" w:rsidRDefault="00940239" w:rsidP="00127A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departure from recommended OECD methodology</w:t>
      </w:r>
      <w:r w:rsidR="0057399A">
        <w:rPr>
          <w:rFonts w:ascii="Times New Roman" w:hAnsi="Times New Roman" w:cs="Times New Roman"/>
          <w:sz w:val="24"/>
          <w:szCs w:val="24"/>
        </w:rPr>
        <w:t xml:space="preserve"> in Singapore and Taiwan.</w:t>
      </w:r>
    </w:p>
    <w:p w14:paraId="0FA3CC9F" w14:textId="4BF241F4" w:rsidR="0057399A" w:rsidRDefault="0057399A" w:rsidP="0057399A">
      <w:p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>Action 12</w:t>
      </w:r>
      <w:r w:rsidR="00316783"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>Mandatory Disclosure</w:t>
      </w:r>
    </w:p>
    <w:p w14:paraId="19EDA4BE" w14:textId="77777777" w:rsidR="0057399A" w:rsidRDefault="0057399A" w:rsidP="005739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Malaysia</w:t>
      </w:r>
    </w:p>
    <w:p w14:paraId="4CD5C13F" w14:textId="77777777" w:rsidR="0057399A" w:rsidRDefault="0057399A" w:rsidP="00127A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399A">
        <w:rPr>
          <w:rFonts w:ascii="Times New Roman" w:hAnsi="Times New Roman" w:cs="Times New Roman"/>
          <w:sz w:val="24"/>
          <w:szCs w:val="24"/>
        </w:rPr>
        <w:t>No rules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637EE1" w14:textId="77777777" w:rsidR="0057399A" w:rsidRDefault="0057399A" w:rsidP="00127A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Unlikely to be introduced.</w:t>
      </w:r>
    </w:p>
    <w:p w14:paraId="67075447" w14:textId="77777777" w:rsidR="0057399A" w:rsidRDefault="0057399A" w:rsidP="00127A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Concerns over compliance burden.</w:t>
      </w:r>
    </w:p>
    <w:p w14:paraId="1F392021" w14:textId="77777777" w:rsidR="0057399A" w:rsidRDefault="002A7AFA" w:rsidP="0057399A">
      <w:pPr>
        <w:rPr>
          <w:rFonts w:ascii="Times New Roman" w:hAnsi="Times New Roman" w:cs="Times New Roman"/>
          <w:b/>
          <w:sz w:val="24"/>
          <w:szCs w:val="24"/>
        </w:rPr>
      </w:pPr>
      <w:r w:rsidRPr="002A7AFA">
        <w:rPr>
          <w:rFonts w:ascii="Times New Roman" w:hAnsi="Times New Roman" w:cs="Times New Roman"/>
          <w:b/>
          <w:sz w:val="24"/>
          <w:szCs w:val="24"/>
        </w:rPr>
        <w:t>Hong Kong</w:t>
      </w:r>
    </w:p>
    <w:p w14:paraId="6D9260E3" w14:textId="77777777" w:rsidR="002A7AFA" w:rsidRPr="002A7AFA" w:rsidRDefault="002A7AFA" w:rsidP="00127A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rules.</w:t>
      </w:r>
    </w:p>
    <w:p w14:paraId="239BC892" w14:textId="77777777" w:rsidR="002A7AFA" w:rsidRPr="002A7AFA" w:rsidRDefault="002A7AFA" w:rsidP="00127A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Unlikely to be introduced.</w:t>
      </w:r>
    </w:p>
    <w:p w14:paraId="2A6A564B" w14:textId="77777777" w:rsidR="002A7AFA" w:rsidRPr="002A7AFA" w:rsidRDefault="002A7AFA" w:rsidP="00127A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Concerns over compliance burden.</w:t>
      </w:r>
    </w:p>
    <w:p w14:paraId="4C7D3923" w14:textId="77777777" w:rsidR="002A7AFA" w:rsidRDefault="002A7AFA" w:rsidP="002D4C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Australia</w:t>
      </w:r>
    </w:p>
    <w:p w14:paraId="7B05CEE6" w14:textId="77777777" w:rsidR="002A7AFA" w:rsidRPr="00537BF8" w:rsidRDefault="00537BF8" w:rsidP="002D4CD1">
      <w:pPr>
        <w:pStyle w:val="ListParagraph"/>
        <w:numPr>
          <w:ilvl w:val="0"/>
          <w:numId w:val="13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rules.</w:t>
      </w:r>
    </w:p>
    <w:p w14:paraId="28DF4FEF" w14:textId="6A2EA43F" w:rsidR="00537BF8" w:rsidRPr="00C8131E" w:rsidRDefault="00537BF8" w:rsidP="002D4CD1">
      <w:pPr>
        <w:pStyle w:val="ListParagraph"/>
        <w:numPr>
          <w:ilvl w:val="0"/>
          <w:numId w:val="13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Large companies </w:t>
      </w:r>
      <w:r w:rsidR="00C8131E">
        <w:rPr>
          <w:rFonts w:ascii="Times New Roman" w:hAnsi="Times New Roman" w:cs="Times New Roman"/>
          <w:sz w:val="24"/>
          <w:szCs w:val="24"/>
        </w:rPr>
        <w:t xml:space="preserve">have to have a reportable tax </w:t>
      </w:r>
      <w:r w:rsidR="00127A23">
        <w:rPr>
          <w:rFonts w:ascii="Times New Roman" w:hAnsi="Times New Roman" w:cs="Times New Roman"/>
          <w:sz w:val="24"/>
          <w:szCs w:val="24"/>
        </w:rPr>
        <w:t>position</w:t>
      </w:r>
      <w:r w:rsidR="00C8131E">
        <w:rPr>
          <w:rFonts w:ascii="Times New Roman" w:hAnsi="Times New Roman" w:cs="Times New Roman"/>
          <w:sz w:val="24"/>
          <w:szCs w:val="24"/>
        </w:rPr>
        <w:t xml:space="preserve"> schedule atta</w:t>
      </w:r>
      <w:r w:rsidR="00316783">
        <w:rPr>
          <w:rFonts w:ascii="Times New Roman" w:hAnsi="Times New Roman" w:cs="Times New Roman"/>
          <w:sz w:val="24"/>
          <w:szCs w:val="24"/>
        </w:rPr>
        <w:t>ched to their annual tax return.</w:t>
      </w:r>
    </w:p>
    <w:p w14:paraId="1A0A3967" w14:textId="77777777" w:rsidR="00C8131E" w:rsidRDefault="005837D9" w:rsidP="002D4CD1">
      <w:pPr>
        <w:pStyle w:val="ListParagraph"/>
        <w:numPr>
          <w:ilvl w:val="0"/>
          <w:numId w:val="1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Common Standards have been adopted.</w:t>
      </w:r>
    </w:p>
    <w:p w14:paraId="305F5233" w14:textId="77777777" w:rsidR="002D4CD1" w:rsidRDefault="005837D9" w:rsidP="002D4CD1">
      <w:pPr>
        <w:rPr>
          <w:rFonts w:ascii="Times New Roman" w:hAnsi="Times New Roman" w:cs="Times New Roman"/>
          <w:b/>
          <w:sz w:val="24"/>
          <w:szCs w:val="24"/>
        </w:rPr>
      </w:pPr>
      <w:r w:rsidRPr="005837D9">
        <w:rPr>
          <w:rFonts w:ascii="Times New Roman" w:hAnsi="Times New Roman" w:cs="Times New Roman"/>
          <w:b/>
          <w:sz w:val="24"/>
          <w:szCs w:val="24"/>
        </w:rPr>
        <w:t>China</w:t>
      </w:r>
    </w:p>
    <w:p w14:paraId="62EA44A2" w14:textId="77777777" w:rsidR="002D4CD1" w:rsidRDefault="00316783" w:rsidP="00794AF7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b/>
          <w:sz w:val="24"/>
          <w:szCs w:val="24"/>
        </w:rPr>
      </w:pPr>
      <w:r w:rsidRPr="002D4CD1">
        <w:rPr>
          <w:rFonts w:ascii="Times New Roman" w:hAnsi="Times New Roman" w:cs="Times New Roman"/>
          <w:sz w:val="24"/>
          <w:szCs w:val="24"/>
        </w:rPr>
        <w:t>No rules.</w:t>
      </w:r>
    </w:p>
    <w:p w14:paraId="00A2FDE6" w14:textId="3A0102F7" w:rsidR="00B801C5" w:rsidRPr="002D4CD1" w:rsidRDefault="00E43C24" w:rsidP="00794AF7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b/>
          <w:sz w:val="24"/>
          <w:szCs w:val="24"/>
        </w:rPr>
      </w:pPr>
      <w:r w:rsidRPr="002D4CD1">
        <w:rPr>
          <w:rFonts w:ascii="Times New Roman" w:hAnsi="Times New Roman" w:cs="Times New Roman"/>
          <w:sz w:val="24"/>
          <w:szCs w:val="24"/>
        </w:rPr>
        <w:t>Discussion draft on mandatory disclosure of spe</w:t>
      </w:r>
      <w:r w:rsidR="002D4CD1">
        <w:rPr>
          <w:rFonts w:ascii="Times New Roman" w:hAnsi="Times New Roman" w:cs="Times New Roman"/>
          <w:sz w:val="24"/>
          <w:szCs w:val="24"/>
        </w:rPr>
        <w:t xml:space="preserve">cial tax adjustments issued in </w:t>
      </w:r>
      <w:r w:rsidRPr="002D4CD1">
        <w:rPr>
          <w:rFonts w:ascii="Times New Roman" w:hAnsi="Times New Roman" w:cs="Times New Roman"/>
          <w:sz w:val="24"/>
          <w:szCs w:val="24"/>
        </w:rPr>
        <w:t>2015 – impact of the introduction as yet unknown.</w:t>
      </w:r>
    </w:p>
    <w:p w14:paraId="27140C79" w14:textId="77777777" w:rsidR="002D4CD1" w:rsidRDefault="002D4CD1" w:rsidP="002D4CD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Taiwan</w:t>
      </w:r>
    </w:p>
    <w:p w14:paraId="670C9BB1" w14:textId="77777777" w:rsidR="002D4CD1" w:rsidRPr="002D4CD1" w:rsidRDefault="006B4BA7" w:rsidP="00794AF7">
      <w:pPr>
        <w:pStyle w:val="ListParagraph"/>
        <w:numPr>
          <w:ilvl w:val="0"/>
          <w:numId w:val="76"/>
        </w:num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2D4CD1">
        <w:rPr>
          <w:rFonts w:ascii="Times New Roman" w:hAnsi="Times New Roman" w:cs="Times New Roman"/>
          <w:sz w:val="24"/>
          <w:szCs w:val="24"/>
        </w:rPr>
        <w:t>No rules</w:t>
      </w:r>
      <w:r w:rsidR="002D4CD1">
        <w:rPr>
          <w:rFonts w:ascii="Times New Roman" w:hAnsi="Times New Roman" w:cs="Times New Roman"/>
          <w:sz w:val="24"/>
          <w:szCs w:val="24"/>
        </w:rPr>
        <w:t>.</w:t>
      </w:r>
    </w:p>
    <w:p w14:paraId="550E6F12" w14:textId="73412D73" w:rsidR="006B4BA7" w:rsidRPr="002D4CD1" w:rsidRDefault="002D4CD1" w:rsidP="00794AF7">
      <w:pPr>
        <w:pStyle w:val="ListParagraph"/>
        <w:numPr>
          <w:ilvl w:val="0"/>
          <w:numId w:val="76"/>
        </w:num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6B4BA7" w:rsidRPr="002D4CD1">
        <w:rPr>
          <w:rFonts w:ascii="Times New Roman" w:hAnsi="Times New Roman" w:cs="Times New Roman"/>
          <w:sz w:val="24"/>
          <w:szCs w:val="24"/>
        </w:rPr>
        <w:t>intention to introduce.</w:t>
      </w:r>
    </w:p>
    <w:p w14:paraId="70C6D557" w14:textId="77777777" w:rsidR="002D4CD1" w:rsidRDefault="006D0FE4" w:rsidP="002D4CD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6D0FE4">
        <w:rPr>
          <w:rFonts w:ascii="Times New Roman" w:hAnsi="Times New Roman" w:cs="Times New Roman"/>
          <w:b/>
          <w:sz w:val="24"/>
          <w:szCs w:val="24"/>
        </w:rPr>
        <w:t>Singapore</w:t>
      </w:r>
    </w:p>
    <w:p w14:paraId="0B3DC7A3" w14:textId="77777777" w:rsidR="002D4CD1" w:rsidRDefault="006D0FE4" w:rsidP="00794AF7">
      <w:pPr>
        <w:pStyle w:val="ListParagraph"/>
        <w:numPr>
          <w:ilvl w:val="0"/>
          <w:numId w:val="77"/>
        </w:num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2D4CD1">
        <w:rPr>
          <w:rFonts w:ascii="Times New Roman" w:hAnsi="Times New Roman" w:cs="Times New Roman"/>
          <w:sz w:val="24"/>
          <w:szCs w:val="24"/>
        </w:rPr>
        <w:t>No rules</w:t>
      </w:r>
      <w:r w:rsidR="00316783" w:rsidRPr="002D4CD1">
        <w:rPr>
          <w:rFonts w:ascii="Times New Roman" w:hAnsi="Times New Roman" w:cs="Times New Roman"/>
          <w:sz w:val="24"/>
          <w:szCs w:val="24"/>
        </w:rPr>
        <w:t>.</w:t>
      </w:r>
    </w:p>
    <w:p w14:paraId="21EB53A7" w14:textId="1220B148" w:rsidR="006D0FE4" w:rsidRPr="002D4CD1" w:rsidRDefault="00BB1B50" w:rsidP="00794AF7">
      <w:pPr>
        <w:pStyle w:val="ListParagraph"/>
        <w:numPr>
          <w:ilvl w:val="0"/>
          <w:numId w:val="77"/>
        </w:num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2D4CD1">
        <w:rPr>
          <w:rFonts w:ascii="Times New Roman" w:hAnsi="Times New Roman" w:cs="Times New Roman"/>
          <w:sz w:val="24"/>
          <w:szCs w:val="24"/>
        </w:rPr>
        <w:t>If introduced (no intention to) more work for practitioners seen as a positive.</w:t>
      </w:r>
    </w:p>
    <w:p w14:paraId="32D498AD" w14:textId="77777777" w:rsidR="002D4CD1" w:rsidRDefault="002D4CD1" w:rsidP="002D4CD1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Japan</w:t>
      </w:r>
    </w:p>
    <w:p w14:paraId="133A6A31" w14:textId="77777777" w:rsidR="002D4CD1" w:rsidRDefault="00BB1B50" w:rsidP="00794AF7">
      <w:pPr>
        <w:pStyle w:val="ListParagraph"/>
        <w:numPr>
          <w:ilvl w:val="0"/>
          <w:numId w:val="78"/>
        </w:num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2D4CD1">
        <w:rPr>
          <w:rFonts w:ascii="Times New Roman" w:hAnsi="Times New Roman" w:cs="Times New Roman"/>
          <w:sz w:val="24"/>
          <w:szCs w:val="24"/>
        </w:rPr>
        <w:t>No rules</w:t>
      </w:r>
      <w:r w:rsidR="00316783" w:rsidRPr="002D4CD1">
        <w:rPr>
          <w:rFonts w:ascii="Times New Roman" w:hAnsi="Times New Roman" w:cs="Times New Roman"/>
          <w:sz w:val="24"/>
          <w:szCs w:val="24"/>
        </w:rPr>
        <w:t>.</w:t>
      </w:r>
    </w:p>
    <w:p w14:paraId="459EA377" w14:textId="67C532CA" w:rsidR="00BB1B50" w:rsidRPr="002D4CD1" w:rsidRDefault="00BB1B50" w:rsidP="00794AF7">
      <w:pPr>
        <w:pStyle w:val="ListParagraph"/>
        <w:numPr>
          <w:ilvl w:val="0"/>
          <w:numId w:val="78"/>
        </w:num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2D4CD1">
        <w:rPr>
          <w:rFonts w:ascii="Times New Roman" w:hAnsi="Times New Roman" w:cs="Times New Roman"/>
          <w:sz w:val="24"/>
          <w:szCs w:val="24"/>
        </w:rPr>
        <w:t>No intention to introduce.</w:t>
      </w:r>
    </w:p>
    <w:p w14:paraId="7203BB33" w14:textId="77777777" w:rsidR="00316783" w:rsidRDefault="00BB1B50" w:rsidP="00316783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BB1B50">
        <w:rPr>
          <w:rFonts w:ascii="Times New Roman" w:hAnsi="Times New Roman" w:cs="Times New Roman"/>
          <w:b/>
          <w:sz w:val="24"/>
          <w:szCs w:val="24"/>
        </w:rPr>
        <w:t>General Regional Observations</w:t>
      </w:r>
    </w:p>
    <w:p w14:paraId="667624D5" w14:textId="55492455" w:rsidR="00B801C5" w:rsidRPr="00316783" w:rsidRDefault="003A3B05" w:rsidP="00794AF7">
      <w:pPr>
        <w:pStyle w:val="ListParagraph"/>
        <w:numPr>
          <w:ilvl w:val="0"/>
          <w:numId w:val="67"/>
        </w:num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There is no appetite to introduce these rules.</w:t>
      </w:r>
    </w:p>
    <w:p w14:paraId="5D6FEAE6" w14:textId="77777777" w:rsidR="003A3B05" w:rsidRPr="003A3B05" w:rsidRDefault="003A3B05" w:rsidP="003A3B05">
      <w:pPr>
        <w:rPr>
          <w:rFonts w:ascii="Times New Roman" w:hAnsi="Times New Roman" w:cs="Times New Roman"/>
          <w:sz w:val="24"/>
          <w:szCs w:val="24"/>
        </w:rPr>
      </w:pPr>
    </w:p>
    <w:p w14:paraId="0B8AA2D0" w14:textId="77777777" w:rsidR="00316783" w:rsidRDefault="00316783" w:rsidP="003A3B05">
      <w:p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Action 13: </w:t>
      </w:r>
      <w:r w:rsidR="00B02DD5"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>Country by Country Reporting</w:t>
      </w:r>
    </w:p>
    <w:p w14:paraId="4040F7B0" w14:textId="77777777" w:rsidR="00316783" w:rsidRDefault="00B02DD5" w:rsidP="00316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Malaysia</w:t>
      </w:r>
    </w:p>
    <w:p w14:paraId="3F6DA621" w14:textId="77777777" w:rsidR="00316783" w:rsidRPr="00316783" w:rsidRDefault="00B02DD5" w:rsidP="00794AF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No domestic legislation but likely.</w:t>
      </w:r>
    </w:p>
    <w:p w14:paraId="57E00A70" w14:textId="77777777" w:rsidR="00316783" w:rsidRPr="00316783" w:rsidRDefault="00B02DD5" w:rsidP="00794AF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Major difficulties expected in relation to</w:t>
      </w:r>
      <w:r w:rsidR="00FB6B6A" w:rsidRPr="00316783">
        <w:rPr>
          <w:rFonts w:ascii="Times New Roman" w:hAnsi="Times New Roman" w:cs="Times New Roman"/>
          <w:sz w:val="24"/>
          <w:szCs w:val="24"/>
        </w:rPr>
        <w:t xml:space="preserve"> the different accounting standards and the possibility of amendments to domestic law to comply.</w:t>
      </w:r>
    </w:p>
    <w:p w14:paraId="16DB1FDB" w14:textId="77777777" w:rsidR="00316783" w:rsidRPr="00316783" w:rsidRDefault="00FB6B6A" w:rsidP="00794AF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 xml:space="preserve">Concern over </w:t>
      </w:r>
      <w:r w:rsidR="00873D1E" w:rsidRPr="00316783">
        <w:rPr>
          <w:rFonts w:ascii="Times New Roman" w:hAnsi="Times New Roman" w:cs="Times New Roman"/>
          <w:sz w:val="24"/>
          <w:szCs w:val="24"/>
        </w:rPr>
        <w:t>this action providing an impetus for multiple inter jurisdictional transfer pricing audits which may result in double tax.</w:t>
      </w:r>
    </w:p>
    <w:p w14:paraId="30613A67" w14:textId="77777777" w:rsidR="00316783" w:rsidRPr="00316783" w:rsidRDefault="00873D1E" w:rsidP="00794AF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Timeline for introduction is appropriate</w:t>
      </w:r>
      <w:r w:rsidR="00530B5F" w:rsidRPr="00316783">
        <w:rPr>
          <w:rFonts w:ascii="Times New Roman" w:hAnsi="Times New Roman" w:cs="Times New Roman"/>
          <w:sz w:val="24"/>
          <w:szCs w:val="24"/>
        </w:rPr>
        <w:t>.</w:t>
      </w:r>
    </w:p>
    <w:p w14:paraId="19E75C27" w14:textId="77777777" w:rsidR="00316783" w:rsidRPr="00316783" w:rsidRDefault="00530B5F" w:rsidP="00794AF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Turnover threshold should be complimented with a related party threshold.</w:t>
      </w:r>
    </w:p>
    <w:p w14:paraId="52C578EE" w14:textId="19F9A97A" w:rsidR="00530B5F" w:rsidRPr="00316783" w:rsidRDefault="00C74D63" w:rsidP="00794AF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Clearly</w:t>
      </w:r>
      <w:r w:rsidR="00530B5F" w:rsidRPr="00316783">
        <w:rPr>
          <w:rFonts w:ascii="Times New Roman" w:hAnsi="Times New Roman" w:cs="Times New Roman"/>
          <w:sz w:val="24"/>
          <w:szCs w:val="24"/>
        </w:rPr>
        <w:t xml:space="preserve"> more burden on practitioners but concern in a developing country that transfer pricing documentation may centralise in </w:t>
      </w:r>
      <w:r w:rsidRPr="00316783">
        <w:rPr>
          <w:rFonts w:ascii="Times New Roman" w:hAnsi="Times New Roman" w:cs="Times New Roman"/>
          <w:sz w:val="24"/>
          <w:szCs w:val="24"/>
        </w:rPr>
        <w:t>head office.</w:t>
      </w:r>
    </w:p>
    <w:p w14:paraId="02CE25A4" w14:textId="74B15DD9" w:rsidR="00316783" w:rsidRDefault="00316783" w:rsidP="0031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Hong </w:t>
      </w:r>
      <w:r w:rsidRPr="00316783">
        <w:rPr>
          <w:rFonts w:ascii="Times New Roman" w:hAnsi="Times New Roman" w:cs="Times New Roman"/>
          <w:b/>
          <w:sz w:val="24"/>
          <w:szCs w:val="24"/>
        </w:rPr>
        <w:t>Kong</w:t>
      </w:r>
    </w:p>
    <w:p w14:paraId="45569F3E" w14:textId="77777777" w:rsidR="00316783" w:rsidRDefault="00C74D63" w:rsidP="00794AF7">
      <w:pPr>
        <w:pStyle w:val="ListParagraph"/>
        <w:numPr>
          <w:ilvl w:val="0"/>
          <w:numId w:val="68"/>
        </w:numPr>
        <w:ind w:left="780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No domestic legislation but likely.</w:t>
      </w:r>
    </w:p>
    <w:p w14:paraId="3A7CDE64" w14:textId="77777777" w:rsidR="00316783" w:rsidRDefault="008E6ECD" w:rsidP="00794AF7">
      <w:pPr>
        <w:pStyle w:val="ListParagraph"/>
        <w:numPr>
          <w:ilvl w:val="0"/>
          <w:numId w:val="68"/>
        </w:numPr>
        <w:ind w:left="780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Suspected</w:t>
      </w:r>
      <w:r w:rsidR="00C74D63" w:rsidRPr="00316783">
        <w:rPr>
          <w:rFonts w:ascii="Times New Roman" w:hAnsi="Times New Roman" w:cs="Times New Roman"/>
          <w:sz w:val="24"/>
          <w:szCs w:val="24"/>
        </w:rPr>
        <w:t xml:space="preserve"> little impact as </w:t>
      </w:r>
      <w:r w:rsidRPr="00316783">
        <w:rPr>
          <w:rFonts w:ascii="Times New Roman" w:hAnsi="Times New Roman" w:cs="Times New Roman"/>
          <w:sz w:val="24"/>
          <w:szCs w:val="24"/>
        </w:rPr>
        <w:t>very few Multi National Enterprises (MNE’s) with headquarters in Hong Kong would have turnover exceeding the threshold.</w:t>
      </w:r>
    </w:p>
    <w:p w14:paraId="11A5507C" w14:textId="77777777" w:rsidR="00316783" w:rsidRDefault="0035227F" w:rsidP="00794AF7">
      <w:pPr>
        <w:pStyle w:val="ListParagraph"/>
        <w:numPr>
          <w:ilvl w:val="0"/>
          <w:numId w:val="68"/>
        </w:numPr>
        <w:ind w:left="780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 xml:space="preserve">Hong Kong has very few treaties thus limiting the ability </w:t>
      </w:r>
      <w:r w:rsidR="00BE599C" w:rsidRPr="00316783">
        <w:rPr>
          <w:rFonts w:ascii="Times New Roman" w:hAnsi="Times New Roman" w:cs="Times New Roman"/>
          <w:sz w:val="24"/>
          <w:szCs w:val="24"/>
        </w:rPr>
        <w:t>of</w:t>
      </w:r>
      <w:r w:rsidRPr="00316783">
        <w:rPr>
          <w:rFonts w:ascii="Times New Roman" w:hAnsi="Times New Roman" w:cs="Times New Roman"/>
          <w:sz w:val="24"/>
          <w:szCs w:val="24"/>
        </w:rPr>
        <w:t xml:space="preserve"> the IRD to distribute data.</w:t>
      </w:r>
    </w:p>
    <w:p w14:paraId="3B28508B" w14:textId="77777777" w:rsidR="00316783" w:rsidRDefault="0035227F" w:rsidP="00794AF7">
      <w:pPr>
        <w:pStyle w:val="ListParagraph"/>
        <w:numPr>
          <w:ilvl w:val="0"/>
          <w:numId w:val="68"/>
        </w:numPr>
        <w:ind w:left="780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Concern over possibility of multiple transfer pricing audits resulting in double taxation.</w:t>
      </w:r>
    </w:p>
    <w:p w14:paraId="3A38D9AC" w14:textId="77777777" w:rsidR="00316783" w:rsidRDefault="0035227F" w:rsidP="00794AF7">
      <w:pPr>
        <w:pStyle w:val="ListParagraph"/>
        <w:numPr>
          <w:ilvl w:val="0"/>
          <w:numId w:val="68"/>
        </w:numPr>
        <w:ind w:left="780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Start date is inappropriate.</w:t>
      </w:r>
    </w:p>
    <w:p w14:paraId="51DCD5CB" w14:textId="5D6D03D5" w:rsidR="0035227F" w:rsidRPr="00316783" w:rsidRDefault="004F6E4A" w:rsidP="00794AF7">
      <w:pPr>
        <w:pStyle w:val="ListParagraph"/>
        <w:numPr>
          <w:ilvl w:val="0"/>
          <w:numId w:val="68"/>
        </w:numPr>
        <w:ind w:left="780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Concern over difficulty with tax practitioners understanding the different accounting standards.</w:t>
      </w:r>
    </w:p>
    <w:p w14:paraId="27A41CE9" w14:textId="77777777" w:rsidR="00316783" w:rsidRDefault="004F6E4A" w:rsidP="00316783">
      <w:pPr>
        <w:rPr>
          <w:rFonts w:ascii="Times New Roman" w:hAnsi="Times New Roman" w:cs="Times New Roman"/>
          <w:b/>
          <w:sz w:val="24"/>
          <w:szCs w:val="24"/>
        </w:rPr>
      </w:pPr>
      <w:r w:rsidRPr="004F6E4A">
        <w:rPr>
          <w:rFonts w:ascii="Times New Roman" w:hAnsi="Times New Roman" w:cs="Times New Roman"/>
          <w:b/>
          <w:sz w:val="24"/>
          <w:szCs w:val="24"/>
        </w:rPr>
        <w:t>Australia</w:t>
      </w:r>
    </w:p>
    <w:p w14:paraId="7E1A9F6B" w14:textId="77777777" w:rsidR="00316783" w:rsidRDefault="004F6E4A" w:rsidP="00794AF7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Leg</w:t>
      </w:r>
      <w:r w:rsidR="00C13776" w:rsidRPr="00316783">
        <w:rPr>
          <w:rFonts w:ascii="Times New Roman" w:hAnsi="Times New Roman" w:cs="Times New Roman"/>
          <w:sz w:val="24"/>
          <w:szCs w:val="24"/>
        </w:rPr>
        <w:t>is</w:t>
      </w:r>
      <w:r w:rsidRPr="00316783">
        <w:rPr>
          <w:rFonts w:ascii="Times New Roman" w:hAnsi="Times New Roman" w:cs="Times New Roman"/>
          <w:sz w:val="24"/>
          <w:szCs w:val="24"/>
        </w:rPr>
        <w:t xml:space="preserve">lation in </w:t>
      </w:r>
      <w:r w:rsidR="00C13776" w:rsidRPr="00316783">
        <w:rPr>
          <w:rFonts w:ascii="Times New Roman" w:hAnsi="Times New Roman" w:cs="Times New Roman"/>
          <w:sz w:val="24"/>
          <w:szCs w:val="24"/>
        </w:rPr>
        <w:t xml:space="preserve">accordance with Action 13 introduced with a start date of </w:t>
      </w:r>
      <w:r w:rsidR="00240B5B" w:rsidRPr="00316783">
        <w:rPr>
          <w:rFonts w:ascii="Times New Roman" w:hAnsi="Times New Roman" w:cs="Times New Roman"/>
          <w:sz w:val="24"/>
          <w:szCs w:val="24"/>
        </w:rPr>
        <w:t>1</w:t>
      </w:r>
      <w:r w:rsidR="00240B5B" w:rsidRPr="0031678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40B5B" w:rsidRPr="00316783">
        <w:rPr>
          <w:rFonts w:ascii="Times New Roman" w:hAnsi="Times New Roman" w:cs="Times New Roman"/>
          <w:sz w:val="24"/>
          <w:szCs w:val="24"/>
        </w:rPr>
        <w:t xml:space="preserve"> </w:t>
      </w:r>
      <w:r w:rsidR="00C13776" w:rsidRPr="00316783">
        <w:rPr>
          <w:rFonts w:ascii="Times New Roman" w:hAnsi="Times New Roman" w:cs="Times New Roman"/>
          <w:sz w:val="24"/>
          <w:szCs w:val="24"/>
        </w:rPr>
        <w:t>January 2016.</w:t>
      </w:r>
    </w:p>
    <w:p w14:paraId="2F1D9306" w14:textId="77777777" w:rsidR="00316783" w:rsidRDefault="00C13776" w:rsidP="00794AF7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Concern over the breadth of discretions given to the Australian</w:t>
      </w:r>
      <w:r w:rsidR="00BE599C" w:rsidRPr="00316783">
        <w:rPr>
          <w:rFonts w:ascii="Times New Roman" w:hAnsi="Times New Roman" w:cs="Times New Roman"/>
          <w:sz w:val="24"/>
          <w:szCs w:val="24"/>
        </w:rPr>
        <w:t xml:space="preserve"> </w:t>
      </w:r>
      <w:r w:rsidRPr="00316783">
        <w:rPr>
          <w:rFonts w:ascii="Times New Roman" w:hAnsi="Times New Roman" w:cs="Times New Roman"/>
          <w:sz w:val="24"/>
          <w:szCs w:val="24"/>
        </w:rPr>
        <w:t xml:space="preserve">Taxation </w:t>
      </w:r>
      <w:r w:rsidR="00BE599C" w:rsidRPr="00316783">
        <w:rPr>
          <w:rFonts w:ascii="Times New Roman" w:hAnsi="Times New Roman" w:cs="Times New Roman"/>
          <w:sz w:val="24"/>
          <w:szCs w:val="24"/>
        </w:rPr>
        <w:t>Office (</w:t>
      </w:r>
      <w:r w:rsidRPr="00316783">
        <w:rPr>
          <w:rFonts w:ascii="Times New Roman" w:hAnsi="Times New Roman" w:cs="Times New Roman"/>
          <w:sz w:val="24"/>
          <w:szCs w:val="24"/>
        </w:rPr>
        <w:t>ATO)</w:t>
      </w:r>
      <w:r w:rsidR="00240B5B" w:rsidRPr="00316783">
        <w:rPr>
          <w:rFonts w:ascii="Times New Roman" w:hAnsi="Times New Roman" w:cs="Times New Roman"/>
          <w:sz w:val="24"/>
          <w:szCs w:val="24"/>
        </w:rPr>
        <w:t>.</w:t>
      </w:r>
    </w:p>
    <w:p w14:paraId="572DE2B1" w14:textId="77777777" w:rsidR="00316783" w:rsidRDefault="00240B5B" w:rsidP="00794AF7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 xml:space="preserve">Difficulties with obtaining information if the head company is domiciled in a jurisdiction that is </w:t>
      </w:r>
      <w:r w:rsidR="00BE599C" w:rsidRPr="00316783">
        <w:rPr>
          <w:rFonts w:ascii="Times New Roman" w:hAnsi="Times New Roman" w:cs="Times New Roman"/>
          <w:sz w:val="24"/>
          <w:szCs w:val="24"/>
        </w:rPr>
        <w:t>non-compliant</w:t>
      </w:r>
      <w:r w:rsidRPr="00316783">
        <w:rPr>
          <w:rFonts w:ascii="Times New Roman" w:hAnsi="Times New Roman" w:cs="Times New Roman"/>
          <w:sz w:val="24"/>
          <w:szCs w:val="24"/>
        </w:rPr>
        <w:t>.</w:t>
      </w:r>
    </w:p>
    <w:p w14:paraId="7A0D0C15" w14:textId="77777777" w:rsidR="00316783" w:rsidRDefault="00BE582C" w:rsidP="00794AF7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Timelines for lodgement follow OECD guidelines.</w:t>
      </w:r>
    </w:p>
    <w:p w14:paraId="1028E4B3" w14:textId="58817908" w:rsidR="00BE582C" w:rsidRPr="00316783" w:rsidRDefault="00BE582C" w:rsidP="00794AF7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 xml:space="preserve">Threshold different than OECD </w:t>
      </w:r>
      <w:r w:rsidR="00BE599C" w:rsidRPr="00316783">
        <w:rPr>
          <w:rFonts w:ascii="Times New Roman" w:hAnsi="Times New Roman" w:cs="Times New Roman"/>
          <w:sz w:val="24"/>
          <w:szCs w:val="24"/>
        </w:rPr>
        <w:t>guideline, could</w:t>
      </w:r>
      <w:r w:rsidRPr="00316783">
        <w:rPr>
          <w:rFonts w:ascii="Times New Roman" w:hAnsi="Times New Roman" w:cs="Times New Roman"/>
          <w:sz w:val="24"/>
          <w:szCs w:val="24"/>
        </w:rPr>
        <w:t xml:space="preserve"> result in </w:t>
      </w:r>
      <w:r w:rsidR="00BE599C" w:rsidRPr="00316783">
        <w:rPr>
          <w:rFonts w:ascii="Times New Roman" w:hAnsi="Times New Roman" w:cs="Times New Roman"/>
          <w:sz w:val="24"/>
          <w:szCs w:val="24"/>
        </w:rPr>
        <w:t>inconsistency</w:t>
      </w:r>
      <w:r w:rsidRPr="00316783">
        <w:rPr>
          <w:rFonts w:ascii="Times New Roman" w:hAnsi="Times New Roman" w:cs="Times New Roman"/>
          <w:sz w:val="24"/>
          <w:szCs w:val="24"/>
        </w:rPr>
        <w:t>.</w:t>
      </w:r>
    </w:p>
    <w:p w14:paraId="0015DFEA" w14:textId="77777777" w:rsidR="00316783" w:rsidRDefault="00BE582C" w:rsidP="00316783">
      <w:pPr>
        <w:rPr>
          <w:rFonts w:ascii="Times New Roman" w:hAnsi="Times New Roman" w:cs="Times New Roman"/>
          <w:b/>
          <w:sz w:val="24"/>
          <w:szCs w:val="24"/>
        </w:rPr>
      </w:pPr>
      <w:r w:rsidRPr="00BE582C">
        <w:rPr>
          <w:rFonts w:ascii="Times New Roman" w:hAnsi="Times New Roman" w:cs="Times New Roman"/>
          <w:b/>
          <w:sz w:val="24"/>
          <w:szCs w:val="24"/>
        </w:rPr>
        <w:t>China</w:t>
      </w:r>
    </w:p>
    <w:p w14:paraId="68981E26" w14:textId="77777777" w:rsidR="00316783" w:rsidRPr="00316783" w:rsidRDefault="001F3B72" w:rsidP="00794AF7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Draft</w:t>
      </w:r>
      <w:r w:rsidR="00316783">
        <w:rPr>
          <w:rFonts w:ascii="Times New Roman" w:hAnsi="Times New Roman" w:cs="Times New Roman"/>
          <w:sz w:val="24"/>
          <w:szCs w:val="24"/>
        </w:rPr>
        <w:t xml:space="preserve"> regulations have been produced.</w:t>
      </w:r>
    </w:p>
    <w:p w14:paraId="70DCF714" w14:textId="77777777" w:rsidR="00316783" w:rsidRPr="00316783" w:rsidRDefault="001F3B72" w:rsidP="00794AF7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Concern over non</w:t>
      </w:r>
      <w:r w:rsidR="008B020F" w:rsidRPr="00316783">
        <w:rPr>
          <w:rFonts w:ascii="Times New Roman" w:hAnsi="Times New Roman" w:cs="Times New Roman"/>
          <w:sz w:val="24"/>
          <w:szCs w:val="24"/>
        </w:rPr>
        <w:t>-compliant</w:t>
      </w:r>
      <w:r w:rsidRPr="00316783">
        <w:rPr>
          <w:rFonts w:ascii="Times New Roman" w:hAnsi="Times New Roman" w:cs="Times New Roman"/>
          <w:sz w:val="24"/>
          <w:szCs w:val="24"/>
        </w:rPr>
        <w:t xml:space="preserve"> head company and compliant subsidiary</w:t>
      </w:r>
      <w:r w:rsidR="008B020F" w:rsidRPr="00316783">
        <w:rPr>
          <w:rFonts w:ascii="Times New Roman" w:hAnsi="Times New Roman" w:cs="Times New Roman"/>
          <w:sz w:val="24"/>
          <w:szCs w:val="24"/>
        </w:rPr>
        <w:t>.</w:t>
      </w:r>
    </w:p>
    <w:p w14:paraId="4AFFD304" w14:textId="77777777" w:rsidR="00316783" w:rsidRPr="00316783" w:rsidRDefault="008B020F" w:rsidP="00794AF7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 xml:space="preserve">Concern over multiple transfer pricing </w:t>
      </w:r>
      <w:r w:rsidR="00316783">
        <w:rPr>
          <w:rFonts w:ascii="Times New Roman" w:hAnsi="Times New Roman" w:cs="Times New Roman"/>
          <w:sz w:val="24"/>
          <w:szCs w:val="24"/>
        </w:rPr>
        <w:t>audits and potential double tax</w:t>
      </w:r>
    </w:p>
    <w:p w14:paraId="10DA7EB8" w14:textId="0AA73097" w:rsidR="008B020F" w:rsidRPr="00316783" w:rsidRDefault="008B020F" w:rsidP="00794AF7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Concern over requirement for tax practitioners to possess comprehensive transfer pricing knowledge and documentation requirements.</w:t>
      </w:r>
    </w:p>
    <w:p w14:paraId="2836FD16" w14:textId="77777777" w:rsidR="00316783" w:rsidRDefault="00BE599C" w:rsidP="00316783">
      <w:pPr>
        <w:rPr>
          <w:rFonts w:ascii="Times New Roman" w:hAnsi="Times New Roman" w:cs="Times New Roman"/>
          <w:b/>
          <w:sz w:val="24"/>
          <w:szCs w:val="24"/>
        </w:rPr>
      </w:pPr>
      <w:r w:rsidRPr="00BE599C">
        <w:rPr>
          <w:rFonts w:ascii="Times New Roman" w:hAnsi="Times New Roman" w:cs="Times New Roman"/>
          <w:b/>
          <w:sz w:val="24"/>
          <w:szCs w:val="24"/>
        </w:rPr>
        <w:t>Singapore</w:t>
      </w:r>
    </w:p>
    <w:p w14:paraId="2631597F" w14:textId="77777777" w:rsidR="00316783" w:rsidRPr="00316783" w:rsidRDefault="00BE599C" w:rsidP="00794AF7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No domestic legislation but likely.</w:t>
      </w:r>
    </w:p>
    <w:p w14:paraId="73509BE9" w14:textId="77777777" w:rsidR="00316783" w:rsidRPr="00316783" w:rsidRDefault="00BE599C" w:rsidP="00794AF7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Problems with resourcing both at the tax practitioner level and the revenue level.</w:t>
      </w:r>
    </w:p>
    <w:p w14:paraId="0C0586C9" w14:textId="77777777" w:rsidR="00316783" w:rsidRPr="00316783" w:rsidRDefault="00D44831" w:rsidP="00794AF7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 xml:space="preserve">Double tax an issue where more aggressive revenue </w:t>
      </w:r>
      <w:r w:rsidR="00127A23" w:rsidRPr="00316783">
        <w:rPr>
          <w:rFonts w:ascii="Times New Roman" w:hAnsi="Times New Roman" w:cs="Times New Roman"/>
          <w:sz w:val="24"/>
          <w:szCs w:val="24"/>
        </w:rPr>
        <w:t>authorities</w:t>
      </w:r>
      <w:r w:rsidRPr="00316783">
        <w:rPr>
          <w:rFonts w:ascii="Times New Roman" w:hAnsi="Times New Roman" w:cs="Times New Roman"/>
          <w:sz w:val="24"/>
          <w:szCs w:val="24"/>
        </w:rPr>
        <w:t xml:space="preserve"> involved.</w:t>
      </w:r>
    </w:p>
    <w:p w14:paraId="638F1A76" w14:textId="10E97CA4" w:rsidR="00D44831" w:rsidRPr="00316783" w:rsidRDefault="00D44831" w:rsidP="00794AF7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 xml:space="preserve">Practitioners need to </w:t>
      </w:r>
      <w:r w:rsidR="00794AF7">
        <w:rPr>
          <w:rFonts w:ascii="Times New Roman" w:hAnsi="Times New Roman" w:cs="Times New Roman"/>
          <w:sz w:val="24"/>
          <w:szCs w:val="24"/>
        </w:rPr>
        <w:t xml:space="preserve">be </w:t>
      </w:r>
      <w:r w:rsidRPr="00316783">
        <w:rPr>
          <w:rFonts w:ascii="Times New Roman" w:hAnsi="Times New Roman" w:cs="Times New Roman"/>
          <w:sz w:val="24"/>
          <w:szCs w:val="24"/>
        </w:rPr>
        <w:t xml:space="preserve">cognisant with transfer </w:t>
      </w:r>
      <w:r w:rsidR="00127A23" w:rsidRPr="00316783">
        <w:rPr>
          <w:rFonts w:ascii="Times New Roman" w:hAnsi="Times New Roman" w:cs="Times New Roman"/>
          <w:sz w:val="24"/>
          <w:szCs w:val="24"/>
        </w:rPr>
        <w:t>pricing</w:t>
      </w:r>
      <w:r w:rsidRPr="00316783">
        <w:rPr>
          <w:rFonts w:ascii="Times New Roman" w:hAnsi="Times New Roman" w:cs="Times New Roman"/>
          <w:sz w:val="24"/>
          <w:szCs w:val="24"/>
        </w:rPr>
        <w:t xml:space="preserve"> documentation and rules.</w:t>
      </w:r>
    </w:p>
    <w:p w14:paraId="0817F356" w14:textId="77777777" w:rsidR="00316783" w:rsidRDefault="00D44831" w:rsidP="00316783">
      <w:pPr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Japan</w:t>
      </w:r>
    </w:p>
    <w:p w14:paraId="71D96A5C" w14:textId="77777777" w:rsidR="00316783" w:rsidRDefault="00C539F4" w:rsidP="00794AF7">
      <w:pPr>
        <w:pStyle w:val="ListParagraph"/>
        <w:numPr>
          <w:ilvl w:val="0"/>
          <w:numId w:val="7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Legislation has been introduced this year.</w:t>
      </w:r>
    </w:p>
    <w:p w14:paraId="01505115" w14:textId="77777777" w:rsidR="00316783" w:rsidRDefault="00C539F4" w:rsidP="00794AF7">
      <w:pPr>
        <w:pStyle w:val="ListParagraph"/>
        <w:numPr>
          <w:ilvl w:val="0"/>
          <w:numId w:val="7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Concerns over security of information.</w:t>
      </w:r>
    </w:p>
    <w:p w14:paraId="7074770A" w14:textId="77777777" w:rsidR="00316783" w:rsidRDefault="00C539F4" w:rsidP="00794AF7">
      <w:pPr>
        <w:pStyle w:val="ListParagraph"/>
        <w:numPr>
          <w:ilvl w:val="0"/>
          <w:numId w:val="7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Double tax a problem.</w:t>
      </w:r>
    </w:p>
    <w:p w14:paraId="5A3D8297" w14:textId="3B3748D2" w:rsidR="00C539F4" w:rsidRPr="00316783" w:rsidRDefault="00C539F4" w:rsidP="00794AF7">
      <w:pPr>
        <w:pStyle w:val="ListParagraph"/>
        <w:numPr>
          <w:ilvl w:val="0"/>
          <w:numId w:val="7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Tax practitioner’s knowledge issues.</w:t>
      </w:r>
    </w:p>
    <w:p w14:paraId="2D523184" w14:textId="77777777" w:rsidR="00316783" w:rsidRDefault="00C539F4" w:rsidP="00316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316783">
        <w:rPr>
          <w:rFonts w:ascii="Times New Roman" w:hAnsi="Times New Roman" w:cs="Times New Roman"/>
          <w:b/>
          <w:sz w:val="24"/>
          <w:szCs w:val="24"/>
        </w:rPr>
        <w:t>eneral Regional Observations</w:t>
      </w:r>
    </w:p>
    <w:p w14:paraId="1B4EBD22" w14:textId="77777777" w:rsidR="00316783" w:rsidRDefault="003118F5" w:rsidP="00794AF7">
      <w:pPr>
        <w:pStyle w:val="ListParagraph"/>
        <w:numPr>
          <w:ilvl w:val="0"/>
          <w:numId w:val="73"/>
        </w:numPr>
        <w:ind w:left="600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Two jurisdictions have introduced legislation Japan and Australia but others are likely to follow.</w:t>
      </w:r>
    </w:p>
    <w:p w14:paraId="0D3597D7" w14:textId="77777777" w:rsidR="00316783" w:rsidRDefault="003118F5" w:rsidP="00794AF7">
      <w:pPr>
        <w:pStyle w:val="ListParagraph"/>
        <w:numPr>
          <w:ilvl w:val="0"/>
          <w:numId w:val="73"/>
        </w:numPr>
        <w:ind w:left="600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Concern with compliant subsidiary and non-compliant head office in obtaining information.</w:t>
      </w:r>
    </w:p>
    <w:p w14:paraId="5D2F1AE0" w14:textId="77777777" w:rsidR="00316783" w:rsidRDefault="00422468" w:rsidP="00794AF7">
      <w:pPr>
        <w:pStyle w:val="ListParagraph"/>
        <w:numPr>
          <w:ilvl w:val="0"/>
          <w:numId w:val="73"/>
        </w:numPr>
        <w:ind w:left="600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Double tax seen as real problem as reporting may lead to multiple transfer pricing audits.</w:t>
      </w:r>
    </w:p>
    <w:p w14:paraId="54208771" w14:textId="7C0B6BAF" w:rsidR="00422468" w:rsidRPr="00316783" w:rsidRDefault="00422468" w:rsidP="00794AF7">
      <w:pPr>
        <w:pStyle w:val="ListParagraph"/>
        <w:numPr>
          <w:ilvl w:val="0"/>
          <w:numId w:val="73"/>
        </w:numPr>
        <w:ind w:left="600"/>
        <w:rPr>
          <w:rFonts w:ascii="Times New Roman" w:hAnsi="Times New Roman" w:cs="Times New Roman"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Knowledge levels of practitioners a concern.</w:t>
      </w:r>
    </w:p>
    <w:p w14:paraId="6CCF99F9" w14:textId="77777777" w:rsidR="00316783" w:rsidRDefault="00316783" w:rsidP="00C16E5A">
      <w:pPr>
        <w:rPr>
          <w:rFonts w:ascii="Times New Roman" w:hAnsi="Times New Roman" w:cs="Times New Roman"/>
          <w:b/>
          <w:sz w:val="24"/>
          <w:szCs w:val="24"/>
        </w:rPr>
      </w:pPr>
    </w:p>
    <w:p w14:paraId="7EF8EC50" w14:textId="01F345F6" w:rsidR="00C16E5A" w:rsidRDefault="00C16E5A" w:rsidP="00C16E5A">
      <w:p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b/>
          <w:sz w:val="24"/>
          <w:szCs w:val="24"/>
          <w:highlight w:val="lightGray"/>
        </w:rPr>
        <w:t>Action 14- Make Dispute Resolution Mechanisms More Effective</w:t>
      </w:r>
    </w:p>
    <w:p w14:paraId="74A778CC" w14:textId="77777777" w:rsidR="00316783" w:rsidRDefault="00C52DD1" w:rsidP="00316783">
      <w:pPr>
        <w:rPr>
          <w:rFonts w:ascii="Times New Roman" w:hAnsi="Times New Roman" w:cs="Times New Roman"/>
          <w:b/>
          <w:sz w:val="24"/>
          <w:szCs w:val="24"/>
        </w:rPr>
      </w:pPr>
      <w:r w:rsidRPr="00626B25">
        <w:rPr>
          <w:rFonts w:ascii="Times New Roman" w:hAnsi="Times New Roman" w:cs="Times New Roman"/>
          <w:b/>
          <w:sz w:val="24"/>
          <w:szCs w:val="24"/>
        </w:rPr>
        <w:t>Malaysia</w:t>
      </w:r>
    </w:p>
    <w:p w14:paraId="425BD094" w14:textId="77777777" w:rsidR="002D4CD1" w:rsidRDefault="00C52DD1" w:rsidP="00794AF7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316783">
        <w:rPr>
          <w:rFonts w:ascii="Times New Roman" w:hAnsi="Times New Roman" w:cs="Times New Roman"/>
          <w:sz w:val="24"/>
          <w:szCs w:val="24"/>
        </w:rPr>
        <w:t>No mandatory arbitration</w:t>
      </w:r>
      <w:r w:rsidR="00316783" w:rsidRPr="00316783">
        <w:rPr>
          <w:rFonts w:ascii="Times New Roman" w:hAnsi="Times New Roman" w:cs="Times New Roman"/>
          <w:sz w:val="24"/>
          <w:szCs w:val="24"/>
        </w:rPr>
        <w:t>.</w:t>
      </w:r>
    </w:p>
    <w:p w14:paraId="7D49C9EC" w14:textId="77777777" w:rsidR="002D4CD1" w:rsidRDefault="00AA7A61" w:rsidP="00794AF7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2D4CD1">
        <w:rPr>
          <w:rFonts w:ascii="Times New Roman" w:hAnsi="Times New Roman" w:cs="Times New Roman"/>
          <w:sz w:val="24"/>
          <w:szCs w:val="24"/>
        </w:rPr>
        <w:t>Tax is paid in both jurisdiction pending the outcome of the Mutual Agreement Procedure (MAP).</w:t>
      </w:r>
    </w:p>
    <w:p w14:paraId="3217C194" w14:textId="77777777" w:rsidR="002D4CD1" w:rsidRPr="002D4CD1" w:rsidRDefault="007E5F18" w:rsidP="00794AF7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2D4CD1">
        <w:rPr>
          <w:rFonts w:ascii="Times New Roman" w:hAnsi="Times New Roman" w:cs="Times New Roman"/>
          <w:sz w:val="24"/>
          <w:szCs w:val="24"/>
        </w:rPr>
        <w:t>No perceiv</w:t>
      </w:r>
      <w:r w:rsidR="002D4CD1">
        <w:rPr>
          <w:rFonts w:ascii="Times New Roman" w:hAnsi="Times New Roman" w:cs="Times New Roman"/>
          <w:sz w:val="24"/>
          <w:szCs w:val="24"/>
        </w:rPr>
        <w:t>ed difficulties with MAP process.</w:t>
      </w:r>
    </w:p>
    <w:p w14:paraId="4084C295" w14:textId="60943DE7" w:rsidR="00AA7A61" w:rsidRPr="002D4CD1" w:rsidRDefault="00F544E1" w:rsidP="00794AF7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2D4CD1">
        <w:rPr>
          <w:rFonts w:ascii="Times New Roman" w:hAnsi="Times New Roman" w:cs="Times New Roman"/>
          <w:sz w:val="24"/>
          <w:szCs w:val="24"/>
        </w:rPr>
        <w:t xml:space="preserve">No appetite for compulsory arbitration if BEPS minimum </w:t>
      </w:r>
      <w:r w:rsidR="003A5C0E" w:rsidRPr="002D4CD1">
        <w:rPr>
          <w:rFonts w:ascii="Times New Roman" w:hAnsi="Times New Roman" w:cs="Times New Roman"/>
          <w:sz w:val="24"/>
          <w:szCs w:val="24"/>
        </w:rPr>
        <w:t>standard</w:t>
      </w:r>
      <w:r w:rsidRPr="002D4CD1">
        <w:rPr>
          <w:rFonts w:ascii="Times New Roman" w:hAnsi="Times New Roman" w:cs="Times New Roman"/>
          <w:sz w:val="24"/>
          <w:szCs w:val="24"/>
        </w:rPr>
        <w:t xml:space="preserve"> and best practices adopted.</w:t>
      </w:r>
    </w:p>
    <w:p w14:paraId="4029ABDD" w14:textId="77777777" w:rsidR="00626B25" w:rsidRDefault="00626B25" w:rsidP="00626B25">
      <w:pPr>
        <w:rPr>
          <w:rFonts w:ascii="Times New Roman" w:hAnsi="Times New Roman" w:cs="Times New Roman"/>
          <w:b/>
          <w:sz w:val="24"/>
          <w:szCs w:val="24"/>
        </w:rPr>
      </w:pPr>
      <w:r w:rsidRPr="00626B25">
        <w:rPr>
          <w:rFonts w:ascii="Times New Roman" w:hAnsi="Times New Roman" w:cs="Times New Roman"/>
          <w:b/>
          <w:sz w:val="24"/>
          <w:szCs w:val="24"/>
        </w:rPr>
        <w:t>Hong Kong</w:t>
      </w:r>
    </w:p>
    <w:p w14:paraId="19B3200B" w14:textId="77777777" w:rsidR="00626B25" w:rsidRDefault="00626B25" w:rsidP="00794AF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26B25">
        <w:rPr>
          <w:rFonts w:ascii="Times New Roman" w:hAnsi="Times New Roman" w:cs="Times New Roman"/>
          <w:sz w:val="24"/>
          <w:szCs w:val="24"/>
        </w:rPr>
        <w:t xml:space="preserve">Some treaties provide for </w:t>
      </w:r>
      <w:r>
        <w:rPr>
          <w:rFonts w:ascii="Times New Roman" w:hAnsi="Times New Roman" w:cs="Times New Roman"/>
          <w:sz w:val="24"/>
          <w:szCs w:val="24"/>
        </w:rPr>
        <w:t xml:space="preserve">a request for arbitration but not compulsory </w:t>
      </w:r>
      <w:r w:rsidR="007E5F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MAP </w:t>
      </w:r>
      <w:r w:rsidR="007E5F18">
        <w:rPr>
          <w:rFonts w:ascii="Times New Roman" w:hAnsi="Times New Roman" w:cs="Times New Roman"/>
          <w:sz w:val="24"/>
          <w:szCs w:val="24"/>
        </w:rPr>
        <w:t>provisions in some treaties.</w:t>
      </w:r>
    </w:p>
    <w:p w14:paraId="07E108E9" w14:textId="77777777" w:rsidR="007E5F18" w:rsidRDefault="007E5F18" w:rsidP="00794AF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perceived difficulties with MAP process</w:t>
      </w:r>
    </w:p>
    <w:p w14:paraId="5F1F8DFC" w14:textId="77777777" w:rsidR="007E5F18" w:rsidRDefault="007E5F18" w:rsidP="00794AF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Tax paid in both jurisdictions </w:t>
      </w:r>
      <w:r w:rsidR="00F14C5B">
        <w:rPr>
          <w:rFonts w:ascii="Times New Roman" w:hAnsi="Times New Roman" w:cs="Times New Roman"/>
          <w:sz w:val="24"/>
          <w:szCs w:val="24"/>
        </w:rPr>
        <w:t>during MAP process</w:t>
      </w:r>
    </w:p>
    <w:p w14:paraId="5896F75A" w14:textId="77777777" w:rsidR="00F14C5B" w:rsidRDefault="00F14C5B" w:rsidP="00794AF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 with compulsory arbitrators from the West not understanding the issues in developing Asian countries.</w:t>
      </w:r>
    </w:p>
    <w:p w14:paraId="329C2CBC" w14:textId="77777777" w:rsidR="00F14C5B" w:rsidRDefault="00F14C5B" w:rsidP="00F14C5B">
      <w:pPr>
        <w:rPr>
          <w:rFonts w:ascii="Times New Roman" w:hAnsi="Times New Roman" w:cs="Times New Roman"/>
          <w:b/>
          <w:sz w:val="24"/>
          <w:szCs w:val="24"/>
        </w:rPr>
      </w:pPr>
      <w:r w:rsidRPr="00F14C5B">
        <w:rPr>
          <w:rFonts w:ascii="Times New Roman" w:hAnsi="Times New Roman" w:cs="Times New Roman"/>
          <w:b/>
          <w:sz w:val="24"/>
          <w:szCs w:val="24"/>
        </w:rPr>
        <w:t>Australia</w:t>
      </w:r>
    </w:p>
    <w:p w14:paraId="2C6CF77F" w14:textId="77777777" w:rsidR="00F14C5B" w:rsidRDefault="003A5C0E" w:rsidP="00794AF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A5C0E">
        <w:rPr>
          <w:rFonts w:ascii="Times New Roman" w:hAnsi="Times New Roman" w:cs="Times New Roman"/>
          <w:sz w:val="24"/>
          <w:szCs w:val="24"/>
        </w:rPr>
        <w:t>No mandatory arbitration provisions in treaties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5F9CC0" w14:textId="77777777" w:rsidR="003A5C0E" w:rsidRDefault="003A5C0E" w:rsidP="00794AF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other comments.</w:t>
      </w:r>
    </w:p>
    <w:p w14:paraId="4E0D54E1" w14:textId="77777777" w:rsidR="003A5C0E" w:rsidRDefault="003A5C0E" w:rsidP="003A5C0E">
      <w:pPr>
        <w:rPr>
          <w:rFonts w:ascii="Times New Roman" w:hAnsi="Times New Roman" w:cs="Times New Roman"/>
          <w:b/>
          <w:sz w:val="24"/>
          <w:szCs w:val="24"/>
        </w:rPr>
      </w:pPr>
      <w:r w:rsidRPr="003A5C0E">
        <w:rPr>
          <w:rFonts w:ascii="Times New Roman" w:hAnsi="Times New Roman" w:cs="Times New Roman"/>
          <w:b/>
          <w:sz w:val="24"/>
          <w:szCs w:val="24"/>
        </w:rPr>
        <w:t>China</w:t>
      </w:r>
    </w:p>
    <w:p w14:paraId="707E2190" w14:textId="77777777" w:rsidR="003A5C0E" w:rsidRDefault="00100AA4" w:rsidP="00794AF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100AA4">
        <w:rPr>
          <w:rFonts w:ascii="Times New Roman" w:hAnsi="Times New Roman" w:cs="Times New Roman"/>
          <w:sz w:val="24"/>
          <w:szCs w:val="24"/>
        </w:rPr>
        <w:t>No</w:t>
      </w:r>
      <w:r w:rsidR="00952997">
        <w:rPr>
          <w:rFonts w:ascii="Times New Roman" w:hAnsi="Times New Roman" w:cs="Times New Roman"/>
          <w:sz w:val="24"/>
          <w:szCs w:val="24"/>
        </w:rPr>
        <w:t xml:space="preserve"> </w:t>
      </w:r>
      <w:r w:rsidR="00127A23">
        <w:rPr>
          <w:rFonts w:ascii="Times New Roman" w:hAnsi="Times New Roman" w:cs="Times New Roman"/>
          <w:sz w:val="24"/>
          <w:szCs w:val="24"/>
        </w:rPr>
        <w:t xml:space="preserve">mandatory </w:t>
      </w:r>
      <w:r w:rsidR="00127A23" w:rsidRPr="00100AA4">
        <w:rPr>
          <w:rFonts w:ascii="Times New Roman" w:hAnsi="Times New Roman" w:cs="Times New Roman"/>
          <w:sz w:val="24"/>
          <w:szCs w:val="24"/>
        </w:rPr>
        <w:t>arbitration</w:t>
      </w:r>
      <w:r w:rsidRPr="00100AA4">
        <w:rPr>
          <w:rFonts w:ascii="Times New Roman" w:hAnsi="Times New Roman" w:cs="Times New Roman"/>
          <w:sz w:val="24"/>
          <w:szCs w:val="24"/>
        </w:rPr>
        <w:t xml:space="preserve"> provisions in treaties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1DA8BBF" w14:textId="77777777" w:rsidR="00100AA4" w:rsidRPr="00476A36" w:rsidRDefault="00100AA4" w:rsidP="00794AF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 process let down </w:t>
      </w:r>
      <w:r w:rsidR="00127A23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limited </w:t>
      </w:r>
      <w:r w:rsidR="00127A23">
        <w:rPr>
          <w:rFonts w:ascii="Times New Roman" w:hAnsi="Times New Roman" w:cs="Times New Roman"/>
          <w:sz w:val="24"/>
          <w:szCs w:val="24"/>
        </w:rPr>
        <w:t>resources, difficult</w:t>
      </w:r>
      <w:r>
        <w:rPr>
          <w:rFonts w:ascii="Times New Roman" w:hAnsi="Times New Roman" w:cs="Times New Roman"/>
          <w:sz w:val="24"/>
          <w:szCs w:val="24"/>
        </w:rPr>
        <w:t xml:space="preserve"> administration </w:t>
      </w:r>
      <w:r w:rsidR="00127A23">
        <w:rPr>
          <w:rFonts w:ascii="Times New Roman" w:hAnsi="Times New Roman" w:cs="Times New Roman"/>
          <w:sz w:val="24"/>
          <w:szCs w:val="24"/>
        </w:rPr>
        <w:t>process ineffective</w:t>
      </w:r>
      <w:r>
        <w:rPr>
          <w:rFonts w:ascii="Times New Roman" w:hAnsi="Times New Roman" w:cs="Times New Roman"/>
          <w:sz w:val="24"/>
          <w:szCs w:val="24"/>
        </w:rPr>
        <w:t xml:space="preserve"> exchange of information between competent </w:t>
      </w:r>
      <w:r w:rsidR="00127A23">
        <w:rPr>
          <w:rFonts w:ascii="Times New Roman" w:hAnsi="Times New Roman" w:cs="Times New Roman"/>
          <w:sz w:val="24"/>
          <w:szCs w:val="24"/>
        </w:rPr>
        <w:t>authorities</w:t>
      </w:r>
      <w:r w:rsidR="00476A36">
        <w:rPr>
          <w:rFonts w:ascii="Times New Roman" w:hAnsi="Times New Roman" w:cs="Times New Roman"/>
          <w:sz w:val="24"/>
          <w:szCs w:val="24"/>
        </w:rPr>
        <w:t>,</w:t>
      </w:r>
      <w:r w:rsidR="00127A23">
        <w:rPr>
          <w:rFonts w:ascii="Times New Roman" w:hAnsi="Times New Roman" w:cs="Times New Roman"/>
          <w:sz w:val="24"/>
          <w:szCs w:val="24"/>
        </w:rPr>
        <w:t xml:space="preserve"> </w:t>
      </w:r>
      <w:r w:rsidR="00476A36">
        <w:rPr>
          <w:rFonts w:ascii="Times New Roman" w:hAnsi="Times New Roman" w:cs="Times New Roman"/>
          <w:sz w:val="24"/>
          <w:szCs w:val="24"/>
        </w:rPr>
        <w:t>lack of technical expertise.</w:t>
      </w:r>
    </w:p>
    <w:p w14:paraId="282FF0BC" w14:textId="77777777" w:rsidR="00476A36" w:rsidRPr="00476A36" w:rsidRDefault="00476A36" w:rsidP="00794AF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Tax paid in both jurisdiction pending outcome of </w:t>
      </w:r>
      <w:r w:rsidR="00FB07BA">
        <w:rPr>
          <w:rFonts w:ascii="Times New Roman" w:hAnsi="Times New Roman" w:cs="Times New Roman"/>
          <w:sz w:val="24"/>
          <w:szCs w:val="24"/>
        </w:rPr>
        <w:t>MAP</w:t>
      </w:r>
      <w:r>
        <w:rPr>
          <w:rFonts w:ascii="Times New Roman" w:hAnsi="Times New Roman" w:cs="Times New Roman"/>
          <w:sz w:val="24"/>
          <w:szCs w:val="24"/>
        </w:rPr>
        <w:t xml:space="preserve"> process.</w:t>
      </w:r>
    </w:p>
    <w:p w14:paraId="523327AD" w14:textId="77777777" w:rsidR="00476A36" w:rsidRPr="00952997" w:rsidRDefault="00476A36" w:rsidP="00794AF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appe</w:t>
      </w:r>
      <w:r w:rsidR="00952997">
        <w:rPr>
          <w:rFonts w:ascii="Times New Roman" w:hAnsi="Times New Roman" w:cs="Times New Roman"/>
          <w:sz w:val="24"/>
          <w:szCs w:val="24"/>
        </w:rPr>
        <w:t>tite for compulsory arbitration.</w:t>
      </w:r>
    </w:p>
    <w:p w14:paraId="0F85E75A" w14:textId="77777777" w:rsidR="00952997" w:rsidRDefault="00952997" w:rsidP="00952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Singapore</w:t>
      </w:r>
    </w:p>
    <w:p w14:paraId="1F091075" w14:textId="77777777" w:rsidR="002E3A1D" w:rsidRPr="002E3A1D" w:rsidRDefault="00952997" w:rsidP="00794AF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952997">
        <w:rPr>
          <w:rFonts w:ascii="Times New Roman" w:hAnsi="Times New Roman" w:cs="Times New Roman"/>
          <w:sz w:val="24"/>
          <w:szCs w:val="24"/>
        </w:rPr>
        <w:t>No mandatory</w:t>
      </w:r>
      <w:r>
        <w:rPr>
          <w:rFonts w:ascii="Times New Roman" w:hAnsi="Times New Roman" w:cs="Times New Roman"/>
          <w:sz w:val="24"/>
          <w:szCs w:val="24"/>
        </w:rPr>
        <w:t xml:space="preserve"> arbitration provisions in treaties.</w:t>
      </w:r>
    </w:p>
    <w:p w14:paraId="39C92B27" w14:textId="77777777" w:rsidR="002E3A1D" w:rsidRPr="002E3A1D" w:rsidRDefault="002E3A1D" w:rsidP="00794AF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 not used very often seen as expensive and difficult to resource.</w:t>
      </w:r>
    </w:p>
    <w:p w14:paraId="7589380E" w14:textId="77777777" w:rsidR="00632B34" w:rsidRPr="00632B34" w:rsidRDefault="002E3A1D" w:rsidP="00794AF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paid in both jurisdictions pending outcome of MAP process</w:t>
      </w:r>
      <w:r w:rsidR="00632B34">
        <w:rPr>
          <w:rFonts w:ascii="Times New Roman" w:hAnsi="Times New Roman" w:cs="Times New Roman"/>
          <w:sz w:val="24"/>
          <w:szCs w:val="24"/>
        </w:rPr>
        <w:t>.</w:t>
      </w:r>
    </w:p>
    <w:p w14:paraId="2C385677" w14:textId="77777777" w:rsidR="00632B34" w:rsidRPr="00632B34" w:rsidRDefault="00632B34" w:rsidP="00794AF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Compulsory arbitration favoured but pessimistic about getting into treaties due to sovereignty issues.</w:t>
      </w:r>
    </w:p>
    <w:p w14:paraId="0859E3EF" w14:textId="77777777" w:rsidR="00FE060C" w:rsidRDefault="00632B34" w:rsidP="00632B34">
      <w:pPr>
        <w:rPr>
          <w:rFonts w:ascii="Times New Roman" w:hAnsi="Times New Roman" w:cs="Times New Roman"/>
          <w:b/>
          <w:sz w:val="24"/>
          <w:szCs w:val="24"/>
        </w:rPr>
      </w:pPr>
      <w:r w:rsidRPr="00632B34">
        <w:rPr>
          <w:rFonts w:ascii="Times New Roman" w:hAnsi="Times New Roman" w:cs="Times New Roman"/>
          <w:b/>
          <w:sz w:val="24"/>
          <w:szCs w:val="24"/>
        </w:rPr>
        <w:t>Japan</w:t>
      </w:r>
      <w:r w:rsidR="00952997" w:rsidRPr="00632B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89ECFC" w14:textId="77777777" w:rsidR="00314D69" w:rsidRDefault="00632B34" w:rsidP="00794AF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14D69">
        <w:rPr>
          <w:rFonts w:ascii="Times New Roman" w:hAnsi="Times New Roman" w:cs="Times New Roman"/>
          <w:sz w:val="24"/>
          <w:szCs w:val="24"/>
        </w:rPr>
        <w:t xml:space="preserve">Mandatory arbitration clauses in 7 </w:t>
      </w:r>
      <w:r w:rsidR="00314D69" w:rsidRPr="00314D69">
        <w:rPr>
          <w:rFonts w:ascii="Times New Roman" w:hAnsi="Times New Roman" w:cs="Times New Roman"/>
          <w:sz w:val="24"/>
          <w:szCs w:val="24"/>
        </w:rPr>
        <w:t>treaties</w:t>
      </w:r>
      <w:r w:rsidR="00314D69">
        <w:rPr>
          <w:rFonts w:ascii="Times New Roman" w:hAnsi="Times New Roman" w:cs="Times New Roman"/>
          <w:sz w:val="24"/>
          <w:szCs w:val="24"/>
        </w:rPr>
        <w:t>.</w:t>
      </w:r>
    </w:p>
    <w:p w14:paraId="75558358" w14:textId="77777777" w:rsidR="00330130" w:rsidRDefault="00314D69" w:rsidP="00794AF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Difficulties with MAP lack of professional </w:t>
      </w:r>
      <w:r w:rsidR="00127A23">
        <w:rPr>
          <w:rFonts w:ascii="Times New Roman" w:hAnsi="Times New Roman" w:cs="Times New Roman"/>
          <w:sz w:val="24"/>
          <w:szCs w:val="24"/>
        </w:rPr>
        <w:t>knowledge, conflicts</w:t>
      </w:r>
      <w:r w:rsidR="00330130">
        <w:rPr>
          <w:rFonts w:ascii="Times New Roman" w:hAnsi="Times New Roman" w:cs="Times New Roman"/>
          <w:sz w:val="24"/>
          <w:szCs w:val="24"/>
        </w:rPr>
        <w:t xml:space="preserve"> with tax auditor and MAP personnel coming from same department.</w:t>
      </w:r>
    </w:p>
    <w:p w14:paraId="6C9CB449" w14:textId="77777777" w:rsidR="00116A48" w:rsidRDefault="00330130" w:rsidP="00794AF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Problems with refund of additional taxes where tax paid twice pending outcome of MAP process</w:t>
      </w:r>
      <w:r w:rsidR="00127A23">
        <w:rPr>
          <w:rFonts w:ascii="Times New Roman" w:hAnsi="Times New Roman" w:cs="Times New Roman"/>
          <w:sz w:val="24"/>
          <w:szCs w:val="24"/>
        </w:rPr>
        <w:t>.</w:t>
      </w:r>
    </w:p>
    <w:p w14:paraId="447F0DEB" w14:textId="6B6605E9" w:rsidR="00632B34" w:rsidRPr="002D4CD1" w:rsidRDefault="00116A48" w:rsidP="00794AF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favour of compulsory arbitration.</w:t>
      </w:r>
    </w:p>
    <w:p w14:paraId="5945D61F" w14:textId="724CE03A" w:rsidR="000C1D2E" w:rsidRDefault="00116A48" w:rsidP="000C1D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2D4CD1">
        <w:rPr>
          <w:rFonts w:ascii="Times New Roman" w:hAnsi="Times New Roman" w:cs="Times New Roman"/>
          <w:b/>
          <w:sz w:val="24"/>
          <w:szCs w:val="24"/>
        </w:rPr>
        <w:t>eneral Regional Observations</w:t>
      </w:r>
    </w:p>
    <w:p w14:paraId="673456B9" w14:textId="77777777" w:rsidR="00116A48" w:rsidRPr="00FB07BA" w:rsidRDefault="00116A48" w:rsidP="00794A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real </w:t>
      </w:r>
      <w:r w:rsidR="00FB07BA">
        <w:rPr>
          <w:rFonts w:ascii="Times New Roman" w:hAnsi="Times New Roman" w:cs="Times New Roman"/>
          <w:sz w:val="24"/>
          <w:szCs w:val="24"/>
        </w:rPr>
        <w:t>appetite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7BA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compulsory arbitration.</w:t>
      </w:r>
    </w:p>
    <w:p w14:paraId="5DEFF3E3" w14:textId="77777777" w:rsidR="00116A48" w:rsidRPr="00FB07BA" w:rsidRDefault="00127A23" w:rsidP="00794A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tax</w:t>
      </w:r>
      <w:r w:rsidR="00FB07BA">
        <w:rPr>
          <w:rFonts w:ascii="Times New Roman" w:hAnsi="Times New Roman" w:cs="Times New Roman"/>
          <w:sz w:val="24"/>
          <w:szCs w:val="24"/>
        </w:rPr>
        <w:t xml:space="preserve"> is paid twice need clear mechanism for refund.</w:t>
      </w:r>
    </w:p>
    <w:p w14:paraId="596C2EE5" w14:textId="77777777" w:rsidR="00FB07BA" w:rsidRPr="00684E12" w:rsidRDefault="00FB07BA" w:rsidP="00794A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 </w:t>
      </w:r>
      <w:r w:rsidR="00127A23">
        <w:rPr>
          <w:rFonts w:ascii="Times New Roman" w:hAnsi="Times New Roman" w:cs="Times New Roman"/>
          <w:sz w:val="24"/>
          <w:szCs w:val="24"/>
        </w:rPr>
        <w:t>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A23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 xml:space="preserve"> down </w:t>
      </w:r>
      <w:r w:rsidR="00127A23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poor </w:t>
      </w:r>
      <w:r w:rsidR="00684E12">
        <w:rPr>
          <w:rFonts w:ascii="Times New Roman" w:hAnsi="Times New Roman" w:cs="Times New Roman"/>
          <w:sz w:val="24"/>
          <w:szCs w:val="24"/>
        </w:rPr>
        <w:t>competency.</w:t>
      </w:r>
    </w:p>
    <w:p w14:paraId="264FE275" w14:textId="77777777" w:rsidR="00684E12" w:rsidRPr="00684E12" w:rsidRDefault="00684E12" w:rsidP="00794A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months favoured as time frame for MAP process.</w:t>
      </w:r>
    </w:p>
    <w:p w14:paraId="61AF5F1F" w14:textId="77777777" w:rsidR="00684E12" w:rsidRPr="00684E12" w:rsidRDefault="00684E12" w:rsidP="00684E12">
      <w:pPr>
        <w:rPr>
          <w:rFonts w:ascii="Times New Roman" w:hAnsi="Times New Roman" w:cs="Times New Roman"/>
          <w:b/>
          <w:sz w:val="24"/>
          <w:szCs w:val="24"/>
        </w:rPr>
      </w:pPr>
    </w:p>
    <w:p w14:paraId="1FE10014" w14:textId="3C2308BF" w:rsidR="00B8220E" w:rsidRPr="002D4CD1" w:rsidRDefault="002D4CD1" w:rsidP="005553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D1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Action 15: </w:t>
      </w:r>
      <w:r w:rsidR="00684E12" w:rsidRPr="002D4CD1">
        <w:rPr>
          <w:rFonts w:ascii="Times New Roman" w:hAnsi="Times New Roman" w:cs="Times New Roman"/>
          <w:b/>
          <w:sz w:val="24"/>
          <w:szCs w:val="24"/>
          <w:highlight w:val="lightGray"/>
        </w:rPr>
        <w:t>Devel</w:t>
      </w:r>
      <w:r w:rsidRPr="002D4CD1">
        <w:rPr>
          <w:rFonts w:ascii="Times New Roman" w:hAnsi="Times New Roman" w:cs="Times New Roman"/>
          <w:b/>
          <w:sz w:val="24"/>
          <w:szCs w:val="24"/>
          <w:highlight w:val="lightGray"/>
        </w:rPr>
        <w:t>opment of a Multilateral Treaty</w:t>
      </w:r>
    </w:p>
    <w:p w14:paraId="15CCD49D" w14:textId="77777777" w:rsidR="00684E12" w:rsidRPr="00B86CBE" w:rsidRDefault="00684E12" w:rsidP="00555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Malaysia</w:t>
      </w:r>
    </w:p>
    <w:p w14:paraId="6E053A3D" w14:textId="77777777" w:rsidR="00684E12" w:rsidRDefault="00B86CBE" w:rsidP="00794AF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CBE">
        <w:rPr>
          <w:rFonts w:ascii="Times New Roman" w:hAnsi="Times New Roman" w:cs="Times New Roman"/>
          <w:sz w:val="24"/>
          <w:szCs w:val="24"/>
        </w:rPr>
        <w:t>Unlikely to become a party to a multilateral instrument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9820A2" w14:textId="77777777" w:rsidR="00B86CBE" w:rsidRDefault="00905C96" w:rsidP="00794AF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Perceived difficulties with each jurisdiction having a different interpretation of a mulita lateral instrument.</w:t>
      </w:r>
    </w:p>
    <w:p w14:paraId="3C28C509" w14:textId="77777777" w:rsidR="00905C96" w:rsidRDefault="00905C96" w:rsidP="00905C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96">
        <w:rPr>
          <w:rFonts w:ascii="Times New Roman" w:hAnsi="Times New Roman" w:cs="Times New Roman"/>
          <w:b/>
          <w:sz w:val="24"/>
          <w:szCs w:val="24"/>
        </w:rPr>
        <w:t>Hong Kong</w:t>
      </w:r>
    </w:p>
    <w:p w14:paraId="031BD07A" w14:textId="77777777" w:rsidR="00905C96" w:rsidRDefault="00576255" w:rsidP="00794AF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255">
        <w:rPr>
          <w:rFonts w:ascii="Times New Roman" w:hAnsi="Times New Roman" w:cs="Times New Roman"/>
          <w:sz w:val="24"/>
          <w:szCs w:val="24"/>
        </w:rPr>
        <w:t>Unlikely to</w:t>
      </w:r>
      <w:r>
        <w:rPr>
          <w:rFonts w:ascii="Times New Roman" w:hAnsi="Times New Roman" w:cs="Times New Roman"/>
          <w:sz w:val="24"/>
          <w:szCs w:val="24"/>
        </w:rPr>
        <w:t xml:space="preserve"> become a party to a multilateral instrument.</w:t>
      </w:r>
    </w:p>
    <w:p w14:paraId="5D198281" w14:textId="77777777" w:rsidR="00576255" w:rsidRDefault="00576255" w:rsidP="00794AF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Concerns over </w:t>
      </w:r>
      <w:r w:rsidR="00593656">
        <w:rPr>
          <w:rFonts w:ascii="Times New Roman" w:hAnsi="Times New Roman" w:cs="Times New Roman"/>
          <w:sz w:val="24"/>
          <w:szCs w:val="24"/>
        </w:rPr>
        <w:t>confidentiality of exchanged information.</w:t>
      </w:r>
    </w:p>
    <w:p w14:paraId="36B072D2" w14:textId="77777777" w:rsidR="006A4A21" w:rsidRDefault="00593656" w:rsidP="006A4A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656">
        <w:rPr>
          <w:rFonts w:ascii="Times New Roman" w:hAnsi="Times New Roman" w:cs="Times New Roman"/>
          <w:b/>
          <w:sz w:val="24"/>
          <w:szCs w:val="24"/>
        </w:rPr>
        <w:t>China</w:t>
      </w:r>
    </w:p>
    <w:p w14:paraId="2A31B89C" w14:textId="32D4FB50" w:rsidR="00593656" w:rsidRDefault="006A4A21" w:rsidP="00794AF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A4A21">
        <w:rPr>
          <w:rFonts w:ascii="Times New Roman" w:hAnsi="Times New Roman" w:cs="Times New Roman"/>
          <w:sz w:val="24"/>
          <w:szCs w:val="24"/>
        </w:rPr>
        <w:t>ay become a party to a multilateral instrument</w:t>
      </w:r>
      <w:r w:rsidR="002D4CD1">
        <w:rPr>
          <w:rFonts w:ascii="Times New Roman" w:hAnsi="Times New Roman" w:cs="Times New Roman"/>
          <w:sz w:val="24"/>
          <w:szCs w:val="24"/>
        </w:rPr>
        <w:t>.</w:t>
      </w:r>
    </w:p>
    <w:p w14:paraId="5083F5BD" w14:textId="77777777" w:rsidR="006A4A21" w:rsidRDefault="00CD5F58" w:rsidP="00794AF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Extensive levels of training at the practitioner and revenue </w:t>
      </w:r>
      <w:r w:rsidR="00127A23">
        <w:rPr>
          <w:rFonts w:ascii="Times New Roman" w:hAnsi="Times New Roman" w:cs="Times New Roman"/>
          <w:sz w:val="24"/>
          <w:szCs w:val="24"/>
        </w:rPr>
        <w:t>level.</w:t>
      </w:r>
    </w:p>
    <w:p w14:paraId="71772EEC" w14:textId="77777777" w:rsidR="00CD5F58" w:rsidRDefault="00CD5F58" w:rsidP="00794AF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Tax system will become more balanced and flexible under a </w:t>
      </w:r>
      <w:r w:rsidR="00127A23">
        <w:rPr>
          <w:rFonts w:ascii="Times New Roman" w:hAnsi="Times New Roman" w:cs="Times New Roman"/>
          <w:sz w:val="24"/>
          <w:szCs w:val="24"/>
        </w:rPr>
        <w:t>multilateral</w:t>
      </w:r>
      <w:r>
        <w:rPr>
          <w:rFonts w:ascii="Times New Roman" w:hAnsi="Times New Roman" w:cs="Times New Roman"/>
          <w:sz w:val="24"/>
          <w:szCs w:val="24"/>
        </w:rPr>
        <w:t xml:space="preserve"> system</w:t>
      </w:r>
      <w:r w:rsidR="00127A23">
        <w:rPr>
          <w:rFonts w:ascii="Times New Roman" w:hAnsi="Times New Roman" w:cs="Times New Roman"/>
          <w:sz w:val="24"/>
          <w:szCs w:val="24"/>
        </w:rPr>
        <w:t>.</w:t>
      </w:r>
    </w:p>
    <w:p w14:paraId="044FF6B8" w14:textId="77777777" w:rsidR="00CD5F58" w:rsidRPr="006A4A21" w:rsidRDefault="00CD5F58" w:rsidP="00794AF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problem of </w:t>
      </w:r>
      <w:r w:rsidR="00127A23">
        <w:rPr>
          <w:rFonts w:ascii="Times New Roman" w:hAnsi="Times New Roman" w:cs="Times New Roman"/>
          <w:sz w:val="24"/>
          <w:szCs w:val="24"/>
        </w:rPr>
        <w:t>double</w:t>
      </w:r>
      <w:r>
        <w:rPr>
          <w:rFonts w:ascii="Times New Roman" w:hAnsi="Times New Roman" w:cs="Times New Roman"/>
          <w:sz w:val="24"/>
          <w:szCs w:val="24"/>
        </w:rPr>
        <w:t xml:space="preserve"> no tax would b</w:t>
      </w:r>
      <w:r w:rsidR="000E0D63">
        <w:rPr>
          <w:rFonts w:ascii="Times New Roman" w:hAnsi="Times New Roman" w:cs="Times New Roman"/>
          <w:sz w:val="24"/>
          <w:szCs w:val="24"/>
        </w:rPr>
        <w:t>e solved.</w:t>
      </w:r>
    </w:p>
    <w:p w14:paraId="0AB8A260" w14:textId="77777777" w:rsidR="00593656" w:rsidRDefault="00593656" w:rsidP="00593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656">
        <w:rPr>
          <w:rFonts w:ascii="Times New Roman" w:hAnsi="Times New Roman" w:cs="Times New Roman"/>
          <w:b/>
          <w:sz w:val="24"/>
          <w:szCs w:val="24"/>
        </w:rPr>
        <w:t>Australia</w:t>
      </w:r>
    </w:p>
    <w:p w14:paraId="6839F2D2" w14:textId="1BC504ED" w:rsidR="00593656" w:rsidRPr="000E0D63" w:rsidRDefault="00593656" w:rsidP="00794AF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comment</w:t>
      </w:r>
      <w:r w:rsidR="002D4CD1">
        <w:rPr>
          <w:rFonts w:ascii="Times New Roman" w:hAnsi="Times New Roman" w:cs="Times New Roman"/>
          <w:sz w:val="24"/>
          <w:szCs w:val="24"/>
        </w:rPr>
        <w:t>.</w:t>
      </w:r>
    </w:p>
    <w:p w14:paraId="12255A1A" w14:textId="77777777" w:rsidR="000E0D63" w:rsidRDefault="000E0D63" w:rsidP="000E0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Singapore</w:t>
      </w:r>
    </w:p>
    <w:p w14:paraId="3DFE5BEE" w14:textId="77777777" w:rsidR="000E0D63" w:rsidRPr="000E0D63" w:rsidRDefault="000E0D63" w:rsidP="00794AF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D63">
        <w:rPr>
          <w:rFonts w:ascii="Times New Roman" w:hAnsi="Times New Roman" w:cs="Times New Roman"/>
          <w:sz w:val="24"/>
          <w:szCs w:val="24"/>
        </w:rPr>
        <w:t>Likely to become a party to a multilateral instrument.</w:t>
      </w:r>
    </w:p>
    <w:p w14:paraId="6219940C" w14:textId="77777777" w:rsidR="000E0D63" w:rsidRPr="00A50A1F" w:rsidRDefault="00A50A1F" w:rsidP="00794AF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Reservations until document is drafted.</w:t>
      </w:r>
    </w:p>
    <w:p w14:paraId="0A51815B" w14:textId="77777777" w:rsidR="00A50A1F" w:rsidRPr="000B43B8" w:rsidRDefault="00A50A1F" w:rsidP="00794AF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idea of using a multilateral instrument to swiftly implement the anti BEPS measures is appealing</w:t>
      </w:r>
      <w:r w:rsidR="000B43B8">
        <w:rPr>
          <w:rFonts w:ascii="Times New Roman" w:hAnsi="Times New Roman" w:cs="Times New Roman"/>
          <w:sz w:val="24"/>
          <w:szCs w:val="24"/>
        </w:rPr>
        <w:t>.</w:t>
      </w:r>
    </w:p>
    <w:p w14:paraId="73DC303C" w14:textId="77777777" w:rsidR="000B43B8" w:rsidRPr="002D2BB5" w:rsidRDefault="000B43B8" w:rsidP="00794AF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Multilateral instruments should include an</w:t>
      </w:r>
      <w:r w:rsidR="00127A2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introduce a cost effective </w:t>
      </w:r>
      <w:r w:rsidR="00127A23">
        <w:rPr>
          <w:rFonts w:ascii="Times New Roman" w:hAnsi="Times New Roman" w:cs="Times New Roman"/>
          <w:sz w:val="24"/>
          <w:szCs w:val="24"/>
        </w:rPr>
        <w:t>framework, involving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127A23">
        <w:rPr>
          <w:rFonts w:ascii="Times New Roman" w:hAnsi="Times New Roman" w:cs="Times New Roman"/>
          <w:sz w:val="24"/>
          <w:szCs w:val="24"/>
        </w:rPr>
        <w:t>competent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A23">
        <w:rPr>
          <w:rFonts w:ascii="Times New Roman" w:hAnsi="Times New Roman" w:cs="Times New Roman"/>
          <w:sz w:val="24"/>
          <w:szCs w:val="24"/>
        </w:rPr>
        <w:t>authorities</w:t>
      </w:r>
      <w:r>
        <w:rPr>
          <w:rFonts w:ascii="Times New Roman" w:hAnsi="Times New Roman" w:cs="Times New Roman"/>
          <w:sz w:val="24"/>
          <w:szCs w:val="24"/>
        </w:rPr>
        <w:t xml:space="preserve"> for expeditious resolution </w:t>
      </w:r>
      <w:r w:rsidR="00263DEF">
        <w:rPr>
          <w:rFonts w:ascii="Times New Roman" w:hAnsi="Times New Roman" w:cs="Times New Roman"/>
          <w:sz w:val="24"/>
          <w:szCs w:val="24"/>
        </w:rPr>
        <w:t xml:space="preserve">of tax disputes which includes </w:t>
      </w:r>
      <w:r w:rsidR="002D2BB5">
        <w:rPr>
          <w:rFonts w:ascii="Times New Roman" w:hAnsi="Times New Roman" w:cs="Times New Roman"/>
          <w:sz w:val="24"/>
          <w:szCs w:val="24"/>
        </w:rPr>
        <w:t xml:space="preserve">simplified MAP and APA </w:t>
      </w:r>
      <w:r w:rsidR="00127A23">
        <w:rPr>
          <w:rFonts w:ascii="Times New Roman" w:hAnsi="Times New Roman" w:cs="Times New Roman"/>
          <w:sz w:val="24"/>
          <w:szCs w:val="24"/>
        </w:rPr>
        <w:t>procedures</w:t>
      </w:r>
      <w:r w:rsidR="002D2BB5">
        <w:rPr>
          <w:rFonts w:ascii="Times New Roman" w:hAnsi="Times New Roman" w:cs="Times New Roman"/>
          <w:sz w:val="24"/>
          <w:szCs w:val="24"/>
        </w:rPr>
        <w:t>.</w:t>
      </w:r>
    </w:p>
    <w:p w14:paraId="61336621" w14:textId="77777777" w:rsidR="002D2BB5" w:rsidRPr="00485BFC" w:rsidRDefault="002D2BB5" w:rsidP="00794AF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a transitional period for adoption to enable jurisdictions to adjust.</w:t>
      </w:r>
    </w:p>
    <w:p w14:paraId="0BE1F568" w14:textId="77777777" w:rsidR="00485BFC" w:rsidRDefault="00485BFC" w:rsidP="00485B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Japan</w:t>
      </w:r>
    </w:p>
    <w:p w14:paraId="76903C18" w14:textId="77777777" w:rsidR="00485BFC" w:rsidRDefault="00485BFC" w:rsidP="00794AF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BFC">
        <w:rPr>
          <w:rFonts w:ascii="Times New Roman" w:hAnsi="Times New Roman" w:cs="Times New Roman"/>
          <w:sz w:val="24"/>
          <w:szCs w:val="24"/>
        </w:rPr>
        <w:t>Wil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85BFC">
        <w:rPr>
          <w:rFonts w:ascii="Times New Roman" w:hAnsi="Times New Roman" w:cs="Times New Roman"/>
          <w:sz w:val="24"/>
          <w:szCs w:val="24"/>
        </w:rPr>
        <w:t xml:space="preserve"> become a party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B33676F" w14:textId="32FB3ABF" w:rsidR="000E0D63" w:rsidRPr="002D4CD1" w:rsidRDefault="00485BFC" w:rsidP="00794AF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FC">
        <w:rPr>
          <w:rFonts w:ascii="Times New Roman" w:hAnsi="Times New Roman" w:cs="Times New Roman"/>
          <w:sz w:val="24"/>
          <w:szCs w:val="24"/>
        </w:rPr>
        <w:t>Does not envisage difficulties</w:t>
      </w:r>
      <w:r w:rsidR="002D4CD1">
        <w:rPr>
          <w:rFonts w:ascii="Times New Roman" w:hAnsi="Times New Roman" w:cs="Times New Roman"/>
          <w:sz w:val="24"/>
          <w:szCs w:val="24"/>
        </w:rPr>
        <w:t>.</w:t>
      </w:r>
    </w:p>
    <w:p w14:paraId="3E13E870" w14:textId="43FD5DAE" w:rsidR="00593656" w:rsidRDefault="00485BFC" w:rsidP="00593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2D4CD1">
        <w:rPr>
          <w:rFonts w:ascii="Times New Roman" w:hAnsi="Times New Roman" w:cs="Times New Roman"/>
          <w:b/>
          <w:sz w:val="24"/>
          <w:szCs w:val="24"/>
        </w:rPr>
        <w:t>eneral Regional Observations</w:t>
      </w:r>
    </w:p>
    <w:p w14:paraId="1CC8E5BC" w14:textId="77777777" w:rsidR="00485BFC" w:rsidRPr="00FA0C35" w:rsidRDefault="00485BFC" w:rsidP="00794AF7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idea has substantial merit in </w:t>
      </w:r>
      <w:r w:rsidR="00127A23">
        <w:rPr>
          <w:rFonts w:ascii="Times New Roman" w:hAnsi="Times New Roman" w:cs="Times New Roman"/>
          <w:sz w:val="24"/>
          <w:szCs w:val="24"/>
        </w:rPr>
        <w:t>solving</w:t>
      </w:r>
      <w:r>
        <w:rPr>
          <w:rFonts w:ascii="Times New Roman" w:hAnsi="Times New Roman" w:cs="Times New Roman"/>
          <w:sz w:val="24"/>
          <w:szCs w:val="24"/>
        </w:rPr>
        <w:t xml:space="preserve"> a number of BEPS issues </w:t>
      </w:r>
      <w:r w:rsidR="00FA0C35">
        <w:rPr>
          <w:rFonts w:ascii="Times New Roman" w:hAnsi="Times New Roman" w:cs="Times New Roman"/>
          <w:sz w:val="24"/>
          <w:szCs w:val="24"/>
        </w:rPr>
        <w:t>and result in a more balanced system.</w:t>
      </w:r>
    </w:p>
    <w:p w14:paraId="622216FD" w14:textId="77777777" w:rsidR="00FA0C35" w:rsidRPr="00485BFC" w:rsidRDefault="00FA0C35" w:rsidP="00794AF7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jury is out on whether Asian jurisdictions will become a party until a draft instrument is available.</w:t>
      </w:r>
    </w:p>
    <w:sectPr w:rsidR="00FA0C35" w:rsidRPr="00485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2958B" w14:textId="77777777" w:rsidR="00316783" w:rsidRDefault="00316783" w:rsidP="00FB6B6A">
      <w:pPr>
        <w:spacing w:after="0" w:line="240" w:lineRule="auto"/>
      </w:pPr>
      <w:r>
        <w:separator/>
      </w:r>
    </w:p>
  </w:endnote>
  <w:endnote w:type="continuationSeparator" w:id="0">
    <w:p w14:paraId="58FDB844" w14:textId="77777777" w:rsidR="00316783" w:rsidRDefault="00316783" w:rsidP="00FB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05127" w14:textId="77777777" w:rsidR="00316783" w:rsidRDefault="003167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1455A" w14:textId="77777777" w:rsidR="00316783" w:rsidRDefault="003167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B79DE" w14:textId="77777777" w:rsidR="00316783" w:rsidRDefault="00316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8E2DE" w14:textId="77777777" w:rsidR="00316783" w:rsidRDefault="00316783" w:rsidP="00FB6B6A">
      <w:pPr>
        <w:spacing w:after="0" w:line="240" w:lineRule="auto"/>
      </w:pPr>
      <w:r>
        <w:separator/>
      </w:r>
    </w:p>
  </w:footnote>
  <w:footnote w:type="continuationSeparator" w:id="0">
    <w:p w14:paraId="0AE2404D" w14:textId="77777777" w:rsidR="00316783" w:rsidRDefault="00316783" w:rsidP="00FB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241C0" w14:textId="77777777" w:rsidR="00316783" w:rsidRDefault="003167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909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FB60D0" w14:textId="7DE153DE" w:rsidR="00316783" w:rsidRDefault="003167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5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BDF98F" w14:textId="77777777" w:rsidR="00316783" w:rsidRDefault="003167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C4E45" w14:textId="77777777" w:rsidR="00316783" w:rsidRDefault="003167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5AF"/>
    <w:multiLevelType w:val="hybridMultilevel"/>
    <w:tmpl w:val="35F8C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82F"/>
    <w:multiLevelType w:val="hybridMultilevel"/>
    <w:tmpl w:val="B0B00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A4335"/>
    <w:multiLevelType w:val="hybridMultilevel"/>
    <w:tmpl w:val="FA9CE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E3F00"/>
    <w:multiLevelType w:val="hybridMultilevel"/>
    <w:tmpl w:val="0A3C2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3978"/>
    <w:multiLevelType w:val="hybridMultilevel"/>
    <w:tmpl w:val="E6F26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137"/>
    <w:multiLevelType w:val="hybridMultilevel"/>
    <w:tmpl w:val="55F86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C2189"/>
    <w:multiLevelType w:val="hybridMultilevel"/>
    <w:tmpl w:val="80049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1722E"/>
    <w:multiLevelType w:val="hybridMultilevel"/>
    <w:tmpl w:val="207A5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93747"/>
    <w:multiLevelType w:val="hybridMultilevel"/>
    <w:tmpl w:val="DBE46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B29AF"/>
    <w:multiLevelType w:val="hybridMultilevel"/>
    <w:tmpl w:val="AEBA9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066D6"/>
    <w:multiLevelType w:val="hybridMultilevel"/>
    <w:tmpl w:val="C33E9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85675"/>
    <w:multiLevelType w:val="hybridMultilevel"/>
    <w:tmpl w:val="34667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E28B4"/>
    <w:multiLevelType w:val="hybridMultilevel"/>
    <w:tmpl w:val="988A5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A49BE"/>
    <w:multiLevelType w:val="hybridMultilevel"/>
    <w:tmpl w:val="A4A0F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23599"/>
    <w:multiLevelType w:val="hybridMultilevel"/>
    <w:tmpl w:val="BCDE45E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6F617FA"/>
    <w:multiLevelType w:val="hybridMultilevel"/>
    <w:tmpl w:val="FC284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B0D3F"/>
    <w:multiLevelType w:val="hybridMultilevel"/>
    <w:tmpl w:val="94F26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70246F"/>
    <w:multiLevelType w:val="hybridMultilevel"/>
    <w:tmpl w:val="CE506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8F114E"/>
    <w:multiLevelType w:val="hybridMultilevel"/>
    <w:tmpl w:val="4150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5969E6"/>
    <w:multiLevelType w:val="hybridMultilevel"/>
    <w:tmpl w:val="C8A27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172D82"/>
    <w:multiLevelType w:val="hybridMultilevel"/>
    <w:tmpl w:val="167E6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51287C"/>
    <w:multiLevelType w:val="hybridMultilevel"/>
    <w:tmpl w:val="BB682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0D4972"/>
    <w:multiLevelType w:val="hybridMultilevel"/>
    <w:tmpl w:val="05E80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870EF"/>
    <w:multiLevelType w:val="hybridMultilevel"/>
    <w:tmpl w:val="BB1C9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12515E"/>
    <w:multiLevelType w:val="hybridMultilevel"/>
    <w:tmpl w:val="B6B6F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919E7"/>
    <w:multiLevelType w:val="hybridMultilevel"/>
    <w:tmpl w:val="BDACF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FD1657"/>
    <w:multiLevelType w:val="hybridMultilevel"/>
    <w:tmpl w:val="7EF60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6F5DFA"/>
    <w:multiLevelType w:val="hybridMultilevel"/>
    <w:tmpl w:val="11AC3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657C18"/>
    <w:multiLevelType w:val="hybridMultilevel"/>
    <w:tmpl w:val="0DBE6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E8230E"/>
    <w:multiLevelType w:val="hybridMultilevel"/>
    <w:tmpl w:val="190435AA"/>
    <w:lvl w:ilvl="0" w:tplc="0C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F173ED"/>
    <w:multiLevelType w:val="hybridMultilevel"/>
    <w:tmpl w:val="21343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0303CA"/>
    <w:multiLevelType w:val="hybridMultilevel"/>
    <w:tmpl w:val="344EE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87113B"/>
    <w:multiLevelType w:val="hybridMultilevel"/>
    <w:tmpl w:val="840E8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F16DDF"/>
    <w:multiLevelType w:val="hybridMultilevel"/>
    <w:tmpl w:val="A3627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F8130B"/>
    <w:multiLevelType w:val="hybridMultilevel"/>
    <w:tmpl w:val="76563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DC418C"/>
    <w:multiLevelType w:val="hybridMultilevel"/>
    <w:tmpl w:val="8F22A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0001BF"/>
    <w:multiLevelType w:val="hybridMultilevel"/>
    <w:tmpl w:val="4050C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6B1B09"/>
    <w:multiLevelType w:val="hybridMultilevel"/>
    <w:tmpl w:val="C5F4A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B25F5A"/>
    <w:multiLevelType w:val="hybridMultilevel"/>
    <w:tmpl w:val="1074A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0D2AB1"/>
    <w:multiLevelType w:val="hybridMultilevel"/>
    <w:tmpl w:val="0C06C57A"/>
    <w:lvl w:ilvl="0" w:tplc="0C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012555"/>
    <w:multiLevelType w:val="hybridMultilevel"/>
    <w:tmpl w:val="01A8D5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7DD35E8"/>
    <w:multiLevelType w:val="hybridMultilevel"/>
    <w:tmpl w:val="8CCAB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A57E2"/>
    <w:multiLevelType w:val="hybridMultilevel"/>
    <w:tmpl w:val="70D04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797B99"/>
    <w:multiLevelType w:val="hybridMultilevel"/>
    <w:tmpl w:val="C5C21858"/>
    <w:lvl w:ilvl="0" w:tplc="0C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12036F"/>
    <w:multiLevelType w:val="hybridMultilevel"/>
    <w:tmpl w:val="F63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F73EB0"/>
    <w:multiLevelType w:val="hybridMultilevel"/>
    <w:tmpl w:val="4DFE7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FB59B0"/>
    <w:multiLevelType w:val="hybridMultilevel"/>
    <w:tmpl w:val="FF7AA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7E70A0"/>
    <w:multiLevelType w:val="hybridMultilevel"/>
    <w:tmpl w:val="FDD6B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1D3E0C"/>
    <w:multiLevelType w:val="hybridMultilevel"/>
    <w:tmpl w:val="49387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F52403"/>
    <w:multiLevelType w:val="hybridMultilevel"/>
    <w:tmpl w:val="7474F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5C63CC"/>
    <w:multiLevelType w:val="hybridMultilevel"/>
    <w:tmpl w:val="96FA7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F54E2D"/>
    <w:multiLevelType w:val="hybridMultilevel"/>
    <w:tmpl w:val="CB7CD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D11CA4"/>
    <w:multiLevelType w:val="hybridMultilevel"/>
    <w:tmpl w:val="1146F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94714A"/>
    <w:multiLevelType w:val="hybridMultilevel"/>
    <w:tmpl w:val="E7B0F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572689"/>
    <w:multiLevelType w:val="hybridMultilevel"/>
    <w:tmpl w:val="05CA9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9E5361"/>
    <w:multiLevelType w:val="hybridMultilevel"/>
    <w:tmpl w:val="0CF2F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D50C17"/>
    <w:multiLevelType w:val="hybridMultilevel"/>
    <w:tmpl w:val="F9B2B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3C6ADF"/>
    <w:multiLevelType w:val="hybridMultilevel"/>
    <w:tmpl w:val="771A8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1B4AE3"/>
    <w:multiLevelType w:val="hybridMultilevel"/>
    <w:tmpl w:val="623C1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883728"/>
    <w:multiLevelType w:val="hybridMultilevel"/>
    <w:tmpl w:val="684A6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0A35A2"/>
    <w:multiLevelType w:val="hybridMultilevel"/>
    <w:tmpl w:val="7FBCB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AE2D74"/>
    <w:multiLevelType w:val="hybridMultilevel"/>
    <w:tmpl w:val="01DCA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DC598D"/>
    <w:multiLevelType w:val="hybridMultilevel"/>
    <w:tmpl w:val="91889F3A"/>
    <w:lvl w:ilvl="0" w:tplc="0C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A76E37"/>
    <w:multiLevelType w:val="hybridMultilevel"/>
    <w:tmpl w:val="0D549B8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 w15:restartNumberingAfterBreak="0">
    <w:nsid w:val="67FE3E40"/>
    <w:multiLevelType w:val="hybridMultilevel"/>
    <w:tmpl w:val="C6646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7841FD"/>
    <w:multiLevelType w:val="hybridMultilevel"/>
    <w:tmpl w:val="847E4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231D57"/>
    <w:multiLevelType w:val="hybridMultilevel"/>
    <w:tmpl w:val="18C4710A"/>
    <w:lvl w:ilvl="0" w:tplc="0C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  <w:b w:val="0"/>
      </w:rPr>
    </w:lvl>
    <w:lvl w:ilvl="1" w:tplc="0C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67" w15:restartNumberingAfterBreak="0">
    <w:nsid w:val="6DBD4CC0"/>
    <w:multiLevelType w:val="hybridMultilevel"/>
    <w:tmpl w:val="426A2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6152D2"/>
    <w:multiLevelType w:val="hybridMultilevel"/>
    <w:tmpl w:val="F750592C"/>
    <w:lvl w:ilvl="0" w:tplc="0C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BD17C1"/>
    <w:multiLevelType w:val="hybridMultilevel"/>
    <w:tmpl w:val="FCD8A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06424A"/>
    <w:multiLevelType w:val="hybridMultilevel"/>
    <w:tmpl w:val="90EC1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570FB9"/>
    <w:multiLevelType w:val="hybridMultilevel"/>
    <w:tmpl w:val="BEDE0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E00AD7"/>
    <w:multiLevelType w:val="hybridMultilevel"/>
    <w:tmpl w:val="21669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0E77DE"/>
    <w:multiLevelType w:val="hybridMultilevel"/>
    <w:tmpl w:val="A6803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214A9F"/>
    <w:multiLevelType w:val="hybridMultilevel"/>
    <w:tmpl w:val="E03E5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FD25BA"/>
    <w:multiLevelType w:val="hybridMultilevel"/>
    <w:tmpl w:val="247E4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094DF5"/>
    <w:multiLevelType w:val="hybridMultilevel"/>
    <w:tmpl w:val="E3AE1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EB2218"/>
    <w:multiLevelType w:val="hybridMultilevel"/>
    <w:tmpl w:val="41CED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6"/>
  </w:num>
  <w:num w:numId="3">
    <w:abstractNumId w:val="68"/>
  </w:num>
  <w:num w:numId="4">
    <w:abstractNumId w:val="43"/>
  </w:num>
  <w:num w:numId="5">
    <w:abstractNumId w:val="62"/>
  </w:num>
  <w:num w:numId="6">
    <w:abstractNumId w:val="39"/>
  </w:num>
  <w:num w:numId="7">
    <w:abstractNumId w:val="29"/>
  </w:num>
  <w:num w:numId="8">
    <w:abstractNumId w:val="60"/>
  </w:num>
  <w:num w:numId="9">
    <w:abstractNumId w:val="71"/>
  </w:num>
  <w:num w:numId="10">
    <w:abstractNumId w:val="5"/>
  </w:num>
  <w:num w:numId="11">
    <w:abstractNumId w:val="23"/>
  </w:num>
  <w:num w:numId="12">
    <w:abstractNumId w:val="18"/>
  </w:num>
  <w:num w:numId="13">
    <w:abstractNumId w:val="40"/>
  </w:num>
  <w:num w:numId="14">
    <w:abstractNumId w:val="2"/>
  </w:num>
  <w:num w:numId="15">
    <w:abstractNumId w:val="4"/>
  </w:num>
  <w:num w:numId="16">
    <w:abstractNumId w:val="33"/>
  </w:num>
  <w:num w:numId="17">
    <w:abstractNumId w:val="17"/>
  </w:num>
  <w:num w:numId="18">
    <w:abstractNumId w:val="59"/>
  </w:num>
  <w:num w:numId="19">
    <w:abstractNumId w:val="46"/>
  </w:num>
  <w:num w:numId="20">
    <w:abstractNumId w:val="70"/>
  </w:num>
  <w:num w:numId="21">
    <w:abstractNumId w:val="31"/>
  </w:num>
  <w:num w:numId="22">
    <w:abstractNumId w:val="61"/>
  </w:num>
  <w:num w:numId="23">
    <w:abstractNumId w:val="14"/>
  </w:num>
  <w:num w:numId="24">
    <w:abstractNumId w:val="64"/>
  </w:num>
  <w:num w:numId="25">
    <w:abstractNumId w:val="21"/>
  </w:num>
  <w:num w:numId="26">
    <w:abstractNumId w:val="51"/>
  </w:num>
  <w:num w:numId="27">
    <w:abstractNumId w:val="26"/>
  </w:num>
  <w:num w:numId="28">
    <w:abstractNumId w:val="1"/>
  </w:num>
  <w:num w:numId="29">
    <w:abstractNumId w:val="75"/>
  </w:num>
  <w:num w:numId="30">
    <w:abstractNumId w:val="36"/>
  </w:num>
  <w:num w:numId="31">
    <w:abstractNumId w:val="20"/>
  </w:num>
  <w:num w:numId="32">
    <w:abstractNumId w:val="6"/>
  </w:num>
  <w:num w:numId="33">
    <w:abstractNumId w:val="7"/>
  </w:num>
  <w:num w:numId="34">
    <w:abstractNumId w:val="69"/>
  </w:num>
  <w:num w:numId="35">
    <w:abstractNumId w:val="45"/>
  </w:num>
  <w:num w:numId="36">
    <w:abstractNumId w:val="15"/>
  </w:num>
  <w:num w:numId="37">
    <w:abstractNumId w:val="3"/>
  </w:num>
  <w:num w:numId="38">
    <w:abstractNumId w:val="28"/>
  </w:num>
  <w:num w:numId="39">
    <w:abstractNumId w:val="13"/>
  </w:num>
  <w:num w:numId="40">
    <w:abstractNumId w:val="42"/>
  </w:num>
  <w:num w:numId="41">
    <w:abstractNumId w:val="19"/>
  </w:num>
  <w:num w:numId="42">
    <w:abstractNumId w:val="49"/>
  </w:num>
  <w:num w:numId="43">
    <w:abstractNumId w:val="77"/>
  </w:num>
  <w:num w:numId="44">
    <w:abstractNumId w:val="30"/>
  </w:num>
  <w:num w:numId="45">
    <w:abstractNumId w:val="58"/>
  </w:num>
  <w:num w:numId="46">
    <w:abstractNumId w:val="76"/>
  </w:num>
  <w:num w:numId="47">
    <w:abstractNumId w:val="54"/>
  </w:num>
  <w:num w:numId="48">
    <w:abstractNumId w:val="55"/>
  </w:num>
  <w:num w:numId="49">
    <w:abstractNumId w:val="73"/>
  </w:num>
  <w:num w:numId="50">
    <w:abstractNumId w:val="25"/>
  </w:num>
  <w:num w:numId="51">
    <w:abstractNumId w:val="38"/>
  </w:num>
  <w:num w:numId="52">
    <w:abstractNumId w:val="44"/>
  </w:num>
  <w:num w:numId="53">
    <w:abstractNumId w:val="74"/>
  </w:num>
  <w:num w:numId="54">
    <w:abstractNumId w:val="24"/>
  </w:num>
  <w:num w:numId="55">
    <w:abstractNumId w:val="53"/>
  </w:num>
  <w:num w:numId="56">
    <w:abstractNumId w:val="65"/>
  </w:num>
  <w:num w:numId="57">
    <w:abstractNumId w:val="10"/>
  </w:num>
  <w:num w:numId="58">
    <w:abstractNumId w:val="57"/>
  </w:num>
  <w:num w:numId="59">
    <w:abstractNumId w:val="11"/>
  </w:num>
  <w:num w:numId="60">
    <w:abstractNumId w:val="48"/>
  </w:num>
  <w:num w:numId="61">
    <w:abstractNumId w:val="47"/>
  </w:num>
  <w:num w:numId="62">
    <w:abstractNumId w:val="67"/>
  </w:num>
  <w:num w:numId="63">
    <w:abstractNumId w:val="16"/>
  </w:num>
  <w:num w:numId="64">
    <w:abstractNumId w:val="35"/>
  </w:num>
  <w:num w:numId="65">
    <w:abstractNumId w:val="50"/>
  </w:num>
  <w:num w:numId="66">
    <w:abstractNumId w:val="0"/>
  </w:num>
  <w:num w:numId="67">
    <w:abstractNumId w:val="22"/>
  </w:num>
  <w:num w:numId="68">
    <w:abstractNumId w:val="9"/>
  </w:num>
  <w:num w:numId="69">
    <w:abstractNumId w:val="52"/>
  </w:num>
  <w:num w:numId="70">
    <w:abstractNumId w:val="8"/>
  </w:num>
  <w:num w:numId="71">
    <w:abstractNumId w:val="41"/>
  </w:num>
  <w:num w:numId="72">
    <w:abstractNumId w:val="63"/>
  </w:num>
  <w:num w:numId="73">
    <w:abstractNumId w:val="32"/>
  </w:num>
  <w:num w:numId="74">
    <w:abstractNumId w:val="34"/>
  </w:num>
  <w:num w:numId="75">
    <w:abstractNumId w:val="56"/>
  </w:num>
  <w:num w:numId="76">
    <w:abstractNumId w:val="27"/>
  </w:num>
  <w:num w:numId="77">
    <w:abstractNumId w:val="72"/>
  </w:num>
  <w:num w:numId="78">
    <w:abstractNumId w:val="3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APTempPath" w:val="C:\Users\Ken Schurgott\AppData\Local\LEAP Desktop\CDE\8ae5556b-a6a2-4048-ba76-ffe67580be00\LEAP2Office\MacroFields\"/>
    <w:docVar w:name="LEAPUniqueCode" w:val="4829e915-f1df-47ee-a446-9737b32af365"/>
  </w:docVars>
  <w:rsids>
    <w:rsidRoot w:val="00BA3F07"/>
    <w:rsid w:val="00005490"/>
    <w:rsid w:val="00032C45"/>
    <w:rsid w:val="00076012"/>
    <w:rsid w:val="00083AC8"/>
    <w:rsid w:val="000B43B8"/>
    <w:rsid w:val="000C1D2E"/>
    <w:rsid w:val="000E0D63"/>
    <w:rsid w:val="00100AA4"/>
    <w:rsid w:val="00116A48"/>
    <w:rsid w:val="00127A23"/>
    <w:rsid w:val="001721DC"/>
    <w:rsid w:val="001F3B72"/>
    <w:rsid w:val="00240B5B"/>
    <w:rsid w:val="00263DEF"/>
    <w:rsid w:val="0026778A"/>
    <w:rsid w:val="0028037B"/>
    <w:rsid w:val="002A7AFA"/>
    <w:rsid w:val="002D279D"/>
    <w:rsid w:val="002D2BB5"/>
    <w:rsid w:val="002D4CD1"/>
    <w:rsid w:val="002E3A1D"/>
    <w:rsid w:val="002E4376"/>
    <w:rsid w:val="003118F5"/>
    <w:rsid w:val="00314D69"/>
    <w:rsid w:val="00316783"/>
    <w:rsid w:val="00330130"/>
    <w:rsid w:val="0035227F"/>
    <w:rsid w:val="003A3B05"/>
    <w:rsid w:val="003A5C0E"/>
    <w:rsid w:val="003D2652"/>
    <w:rsid w:val="003F6D4E"/>
    <w:rsid w:val="00404D96"/>
    <w:rsid w:val="00422468"/>
    <w:rsid w:val="00476A36"/>
    <w:rsid w:val="00485BFC"/>
    <w:rsid w:val="004903D3"/>
    <w:rsid w:val="004F6E4A"/>
    <w:rsid w:val="005107B6"/>
    <w:rsid w:val="00530B5F"/>
    <w:rsid w:val="00537BF8"/>
    <w:rsid w:val="005553AA"/>
    <w:rsid w:val="0057399A"/>
    <w:rsid w:val="00576255"/>
    <w:rsid w:val="005837D9"/>
    <w:rsid w:val="00593656"/>
    <w:rsid w:val="005E45A5"/>
    <w:rsid w:val="00626B25"/>
    <w:rsid w:val="00632B34"/>
    <w:rsid w:val="00654A76"/>
    <w:rsid w:val="00684E12"/>
    <w:rsid w:val="006A4A21"/>
    <w:rsid w:val="006B4BA7"/>
    <w:rsid w:val="006D0FE4"/>
    <w:rsid w:val="00791A0A"/>
    <w:rsid w:val="00794AF7"/>
    <w:rsid w:val="007B3555"/>
    <w:rsid w:val="007C6077"/>
    <w:rsid w:val="007E5F18"/>
    <w:rsid w:val="007E6C94"/>
    <w:rsid w:val="00801EE1"/>
    <w:rsid w:val="0082587D"/>
    <w:rsid w:val="00873D1E"/>
    <w:rsid w:val="008A2026"/>
    <w:rsid w:val="008A3644"/>
    <w:rsid w:val="008A45B9"/>
    <w:rsid w:val="008B020F"/>
    <w:rsid w:val="008E6ECD"/>
    <w:rsid w:val="00905C96"/>
    <w:rsid w:val="00911107"/>
    <w:rsid w:val="00940239"/>
    <w:rsid w:val="009524FF"/>
    <w:rsid w:val="00952997"/>
    <w:rsid w:val="00972361"/>
    <w:rsid w:val="009A2128"/>
    <w:rsid w:val="009F5DCC"/>
    <w:rsid w:val="00A50A1F"/>
    <w:rsid w:val="00A5707A"/>
    <w:rsid w:val="00A73CA9"/>
    <w:rsid w:val="00A86761"/>
    <w:rsid w:val="00A9555E"/>
    <w:rsid w:val="00AA7A61"/>
    <w:rsid w:val="00AE23F7"/>
    <w:rsid w:val="00AF1847"/>
    <w:rsid w:val="00B02DD5"/>
    <w:rsid w:val="00B12E0D"/>
    <w:rsid w:val="00B801C5"/>
    <w:rsid w:val="00B8220E"/>
    <w:rsid w:val="00B86CBE"/>
    <w:rsid w:val="00B91A53"/>
    <w:rsid w:val="00BA3F07"/>
    <w:rsid w:val="00BB1B50"/>
    <w:rsid w:val="00BE582C"/>
    <w:rsid w:val="00BE599C"/>
    <w:rsid w:val="00C13776"/>
    <w:rsid w:val="00C16E5A"/>
    <w:rsid w:val="00C24A01"/>
    <w:rsid w:val="00C52DD1"/>
    <w:rsid w:val="00C539F4"/>
    <w:rsid w:val="00C72FEA"/>
    <w:rsid w:val="00C74D63"/>
    <w:rsid w:val="00C7582D"/>
    <w:rsid w:val="00C8131E"/>
    <w:rsid w:val="00CD5F58"/>
    <w:rsid w:val="00D02F89"/>
    <w:rsid w:val="00D44831"/>
    <w:rsid w:val="00D77BBA"/>
    <w:rsid w:val="00D9593D"/>
    <w:rsid w:val="00DB5FC8"/>
    <w:rsid w:val="00DD075C"/>
    <w:rsid w:val="00DF1E05"/>
    <w:rsid w:val="00E0245B"/>
    <w:rsid w:val="00E02C05"/>
    <w:rsid w:val="00E154C3"/>
    <w:rsid w:val="00E43C24"/>
    <w:rsid w:val="00E72C10"/>
    <w:rsid w:val="00E96151"/>
    <w:rsid w:val="00EB0DE1"/>
    <w:rsid w:val="00ED6762"/>
    <w:rsid w:val="00F10DA5"/>
    <w:rsid w:val="00F14C5B"/>
    <w:rsid w:val="00F544E1"/>
    <w:rsid w:val="00FA0C35"/>
    <w:rsid w:val="00FA6B03"/>
    <w:rsid w:val="00FB07BA"/>
    <w:rsid w:val="00FB6B6A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90B570B"/>
  <w15:chartTrackingRefBased/>
  <w15:docId w15:val="{8E28A238-84CA-4129-BABC-B56F699C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7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0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1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B6A"/>
  </w:style>
  <w:style w:type="paragraph" w:styleId="Footer">
    <w:name w:val="footer"/>
    <w:basedOn w:val="Normal"/>
    <w:link w:val="FooterChar"/>
    <w:uiPriority w:val="99"/>
    <w:unhideWhenUsed/>
    <w:rsid w:val="00FB6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EAPWordCustomPart xmlns="http://LEAPWordCustomPart.com">
  <LEAPDefaultTable xmlns=""/>
  <LEAPFirmCode xmlns="">8daac366-1178-4f96-a121-80caf23846e3</LEAPFirmCode>
  <LEAPIsPrecedent xmlns="">False</LEAPIsPrecedent>
  <LEAPTempPath xmlns="">C:\Users\Ken Schurgott\AppData\Local\LEAP Desktop\CDE\8ae5556b-a6a2-4048-ba76-ffe67580be00\LEAP2Office\MacroFields\</LEAPTempPath>
  <LEAPCursorStartPosition xmlns="">26</LEAPCursorStartPosition>
  <LEAPCursorEndPosition xmlns="">26</LEAPCursorEndPosition>
  <LEAPCharacterCount xmlns="">22776</LEAPCharacterCount>
</LEAPWordCustomPar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853B-1091-462A-A524-E6D6CD0007CE}">
  <ds:schemaRefs>
    <ds:schemaRef ds:uri="http://LEAPWordCustomPart.com"/>
    <ds:schemaRef ds:uri=""/>
  </ds:schemaRefs>
</ds:datastoreItem>
</file>

<file path=customXml/itemProps2.xml><?xml version="1.0" encoding="utf-8"?>
<ds:datastoreItem xmlns:ds="http://schemas.openxmlformats.org/officeDocument/2006/customXml" ds:itemID="{04B4929A-68E3-44CD-9F2B-AD51EEC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3339</Words>
  <Characters>19437</Characters>
  <Application>Microsoft Office Word</Application>
  <DocSecurity>0</DocSecurity>
  <Lines>498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Schurgott</dc:creator>
  <cp:keywords/>
  <dc:description/>
  <cp:lastModifiedBy>Ken Schurgott</cp:lastModifiedBy>
  <cp:revision>2</cp:revision>
  <dcterms:created xsi:type="dcterms:W3CDTF">2016-09-07T02:04:00Z</dcterms:created>
  <dcterms:modified xsi:type="dcterms:W3CDTF">2016-09-07T02:04:00Z</dcterms:modified>
</cp:coreProperties>
</file>